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t>国家标准《洗涤剂中磷含量的测定 电感耦合等离子体质谱法》</w:t>
      </w:r>
    </w:p>
    <w:p>
      <w:pPr>
        <w:jc w:val="center"/>
        <w:rPr>
          <w:b/>
          <w:sz w:val="32"/>
          <w:szCs w:val="32"/>
        </w:rPr>
      </w:pPr>
      <w:r>
        <w:rPr>
          <w:b/>
          <w:sz w:val="32"/>
          <w:szCs w:val="32"/>
        </w:rPr>
        <w:t>编制说明</w:t>
      </w:r>
    </w:p>
    <w:p>
      <w:pPr>
        <w:spacing w:before="156" w:beforeLines="50" w:after="156" w:afterLines="50"/>
        <w:rPr>
          <w:b/>
          <w:szCs w:val="21"/>
        </w:rPr>
      </w:pPr>
      <w:r>
        <w:rPr>
          <w:b/>
          <w:szCs w:val="21"/>
        </w:rPr>
        <w:t>一、任务来源</w:t>
      </w:r>
    </w:p>
    <w:p>
      <w:pPr>
        <w:rPr>
          <w:b/>
          <w:bCs/>
          <w:szCs w:val="21"/>
        </w:rPr>
      </w:pPr>
      <w:r>
        <w:rPr>
          <w:b/>
          <w:bCs/>
          <w:szCs w:val="21"/>
        </w:rPr>
        <w:t>1、任务来源</w:t>
      </w:r>
    </w:p>
    <w:p>
      <w:pPr>
        <w:ind w:firstLine="420" w:firstLineChars="200"/>
        <w:rPr>
          <w:szCs w:val="21"/>
        </w:rPr>
      </w:pPr>
      <w:r>
        <w:rPr>
          <w:szCs w:val="21"/>
        </w:rPr>
        <w:t>本项目为国家标准化管理委员会2021年第二批推荐性国家标准计划项目，项目名称《洗涤剂中磷含量的测定 电感耦合等离子体质谱法》，项目编号20213462-T-607。主要起草单位：广东省肇庆市质量计量监督检测所、中国日用化学研究院有限公司、中轻日用化学检验认证有限公司，项目实施周期24个月。</w:t>
      </w:r>
    </w:p>
    <w:p>
      <w:pPr>
        <w:rPr>
          <w:b/>
          <w:szCs w:val="21"/>
        </w:rPr>
      </w:pPr>
      <w:r>
        <w:rPr>
          <w:b/>
          <w:szCs w:val="21"/>
        </w:rPr>
        <w:t>2、主要工作过程</w:t>
      </w:r>
    </w:p>
    <w:p>
      <w:pPr>
        <w:ind w:left="2" w:leftChars="1" w:firstLine="422" w:firstLineChars="200"/>
        <w:rPr>
          <w:szCs w:val="21"/>
        </w:rPr>
      </w:pPr>
      <w:r>
        <w:rPr>
          <w:b/>
          <w:szCs w:val="21"/>
        </w:rPr>
        <w:t>起草阶段：</w:t>
      </w:r>
      <w:r>
        <w:rPr>
          <w:szCs w:val="21"/>
        </w:rPr>
        <w:t>2019年，标准工作组对洗涤剂中磷含量的测定 电感耦合等离子体质谱法进行了现状调研，结合自身实践经验和洗涤行业的要求，编制了标准初稿。工作组在市场上购买不同厂家的洗涤剂产品，由广东省肇庆市质量计量监督检测所的检验室安排不同检验人员对洗涤剂样品中的磷含量进行人员比对检验，依据标准规定的电感耦合等离子体质谱法进行测试比对。2020年9月，经过对样品进行测试后，工作组对测试方法进行了验证和改进，在总结前期工作的基础上编制了标准征求意见稿，报标委会秘书处。于2020年10月10日~25日，经委员会投票，起草方案的通过率是88.68%，标准计划获得项目立项。</w:t>
      </w:r>
    </w:p>
    <w:p>
      <w:pPr>
        <w:autoSpaceDE w:val="0"/>
        <w:autoSpaceDN w:val="0"/>
        <w:adjustRightInd w:val="0"/>
        <w:ind w:firstLine="413" w:firstLineChars="196"/>
        <w:jc w:val="left"/>
      </w:pPr>
      <w:r>
        <w:rPr>
          <w:b/>
        </w:rPr>
        <w:t>征求意见阶段：</w:t>
      </w:r>
      <w:r>
        <w:rPr>
          <w:szCs w:val="21"/>
        </w:rPr>
        <w:t>于2021年3月5日~19日，进入标准公示阶段，向标委会各委员、行业相关专业技术人员广泛征求意见。</w:t>
      </w:r>
    </w:p>
    <w:p>
      <w:pPr>
        <w:autoSpaceDE w:val="0"/>
        <w:autoSpaceDN w:val="0"/>
        <w:adjustRightInd w:val="0"/>
        <w:ind w:firstLine="413" w:firstLineChars="196"/>
      </w:pPr>
      <w:r>
        <w:rPr>
          <w:b/>
        </w:rPr>
        <w:t>审查阶段：</w:t>
      </w:r>
      <w:r>
        <w:t>2023年3月27日至3月29日</w:t>
      </w:r>
      <w:r>
        <w:rPr>
          <w:szCs w:val="21"/>
        </w:rPr>
        <w:t>，全国表面活性剂和洗涤用品标准化技术委员会于广东省佛山市召开(SAC/TC272)全国表面活性剂和洗涤用品标准化技术委员会四届一次会议。会议内容是标准研讨和审查，面</w:t>
      </w:r>
      <w:r>
        <w:t>向参会人员公开征求意见，</w:t>
      </w:r>
      <w:r>
        <w:rPr>
          <w:szCs w:val="21"/>
        </w:rPr>
        <w:t>对标准征求意见稿进行了补充、修改，并</w:t>
      </w:r>
      <w:r>
        <w:t>提交</w:t>
      </w:r>
      <w:r>
        <w:rPr>
          <w:szCs w:val="21"/>
        </w:rPr>
        <w:t>(SAC/TC272)</w:t>
      </w:r>
      <w:r>
        <w:t>全国表面活性剂和洗涤用品标准化技术委员会进行审核。</w:t>
      </w:r>
    </w:p>
    <w:p>
      <w:pPr>
        <w:spacing w:before="156" w:beforeLines="50" w:after="156" w:afterLines="50"/>
        <w:rPr>
          <w:b/>
          <w:szCs w:val="21"/>
        </w:rPr>
      </w:pPr>
      <w:r>
        <w:rPr>
          <w:b/>
          <w:szCs w:val="21"/>
        </w:rPr>
        <w:t>二、标准编制原则和主要内容</w:t>
      </w:r>
    </w:p>
    <w:p>
      <w:pPr>
        <w:autoSpaceDE w:val="0"/>
        <w:autoSpaceDN w:val="0"/>
        <w:adjustRightInd w:val="0"/>
        <w:snapToGrid w:val="0"/>
        <w:spacing w:before="62" w:beforeLines="20" w:after="62" w:afterLines="20"/>
        <w:jc w:val="left"/>
        <w:rPr>
          <w:b/>
          <w:szCs w:val="21"/>
        </w:rPr>
      </w:pPr>
      <w:r>
        <w:rPr>
          <w:b/>
          <w:szCs w:val="21"/>
        </w:rPr>
        <w:t>1、标准编制原则</w:t>
      </w:r>
    </w:p>
    <w:p>
      <w:pPr>
        <w:adjustRightInd w:val="0"/>
        <w:ind w:firstLine="420" w:firstLineChars="200"/>
      </w:pPr>
      <w:r>
        <w:t>本标准的修订符合产业发展的原则，本着先进性、科学性、合理性、可操作性等原则以及标准的目标、统一性、协调性、适用性、一致性和规范性原则来进行本标准的修订工作。</w:t>
      </w:r>
    </w:p>
    <w:p>
      <w:pPr>
        <w:ind w:firstLine="420" w:firstLineChars="200"/>
        <w:rPr>
          <w:szCs w:val="21"/>
        </w:rPr>
      </w:pPr>
      <w:r>
        <w:rPr>
          <w:szCs w:val="21"/>
        </w:rPr>
        <w:t>本标准按照GB/T 1.1-2020《</w:t>
      </w:r>
      <w:r>
        <w:t>标准化工作导则第1部分：标准化文件的结构和起草规则</w:t>
      </w:r>
      <w:r>
        <w:rPr>
          <w:szCs w:val="21"/>
        </w:rPr>
        <w:t>》的要求进行编写。方法建立过程中尽量采用检测实验室普遍采用的分析技术及仪器，选择准确、可行、便于操作的分析条件，保证检测方法的可操作性和可重复性。该标准制定过程中主要参考了</w:t>
      </w:r>
      <w:bookmarkStart w:id="0" w:name="_Hlk26538757"/>
      <w:r>
        <w:rPr>
          <w:szCs w:val="21"/>
        </w:rPr>
        <w:t>以下标准或文件：</w:t>
      </w:r>
    </w:p>
    <w:bookmarkEnd w:id="0"/>
    <w:p>
      <w:pPr>
        <w:pStyle w:val="27"/>
        <w:ind w:firstLine="420"/>
        <w:rPr>
          <w:rFonts w:ascii="Times New Roman"/>
          <w:szCs w:val="21"/>
        </w:rPr>
      </w:pPr>
      <w:r>
        <w:rPr>
          <w:rFonts w:ascii="Times New Roman"/>
          <w:szCs w:val="21"/>
        </w:rPr>
        <w:t>GB/T 13171.1-2009 洗衣粉 （含磷型）</w:t>
      </w:r>
    </w:p>
    <w:p>
      <w:pPr>
        <w:pStyle w:val="27"/>
        <w:ind w:firstLine="420"/>
        <w:rPr>
          <w:rFonts w:ascii="Times New Roman"/>
          <w:szCs w:val="21"/>
        </w:rPr>
      </w:pPr>
      <w:r>
        <w:rPr>
          <w:rFonts w:ascii="Times New Roman"/>
          <w:szCs w:val="21"/>
        </w:rPr>
        <w:t>GB/T 13171.2-2009 洗衣粉（无磷型）</w:t>
      </w:r>
    </w:p>
    <w:p>
      <w:pPr>
        <w:pStyle w:val="27"/>
        <w:ind w:firstLine="420"/>
        <w:rPr>
          <w:rFonts w:ascii="Times New Roman"/>
          <w:szCs w:val="21"/>
        </w:rPr>
      </w:pPr>
      <w:r>
        <w:rPr>
          <w:rFonts w:ascii="Times New Roman"/>
          <w:szCs w:val="21"/>
        </w:rPr>
        <w:t>GB/T 13173-2021 表面活性剂 洗涤剂试验方法</w:t>
      </w:r>
    </w:p>
    <w:p>
      <w:pPr>
        <w:pStyle w:val="27"/>
        <w:ind w:firstLine="420"/>
        <w:rPr>
          <w:rFonts w:ascii="Times New Roman"/>
          <w:szCs w:val="21"/>
        </w:rPr>
      </w:pPr>
      <w:r>
        <w:rPr>
          <w:rFonts w:ascii="Times New Roman"/>
          <w:szCs w:val="21"/>
        </w:rPr>
        <w:t>GB 5009.268-2016 食品安全国家标准 食品中多元素的测定</w:t>
      </w:r>
    </w:p>
    <w:p>
      <w:pPr>
        <w:pStyle w:val="27"/>
        <w:ind w:firstLine="420"/>
        <w:rPr>
          <w:rFonts w:ascii="Times New Roman"/>
          <w:szCs w:val="21"/>
        </w:rPr>
      </w:pPr>
      <w:r>
        <w:rPr>
          <w:rFonts w:ascii="Times New Roman"/>
          <w:szCs w:val="21"/>
        </w:rPr>
        <w:t>GB 5009.87-2016 食品安全国家标准 食品中磷的测定</w:t>
      </w:r>
    </w:p>
    <w:p>
      <w:pPr>
        <w:pStyle w:val="27"/>
        <w:ind w:firstLine="420"/>
        <w:rPr>
          <w:rFonts w:ascii="Times New Roman"/>
          <w:szCs w:val="21"/>
        </w:rPr>
      </w:pPr>
      <w:r>
        <w:rPr>
          <w:rFonts w:ascii="Times New Roman"/>
          <w:szCs w:val="21"/>
        </w:rPr>
        <w:t>NY/T 2541-2014 肥料 磷含量的测定</w:t>
      </w:r>
    </w:p>
    <w:p>
      <w:pPr>
        <w:autoSpaceDE w:val="0"/>
        <w:autoSpaceDN w:val="0"/>
        <w:adjustRightInd w:val="0"/>
        <w:snapToGrid w:val="0"/>
        <w:spacing w:before="62" w:beforeLines="20" w:after="62" w:afterLines="20"/>
        <w:jc w:val="left"/>
        <w:rPr>
          <w:b/>
          <w:szCs w:val="21"/>
        </w:rPr>
      </w:pPr>
      <w:r>
        <w:rPr>
          <w:b/>
          <w:szCs w:val="21"/>
        </w:rPr>
        <w:t>2、标准主要内容</w:t>
      </w:r>
    </w:p>
    <w:p>
      <w:pPr>
        <w:pStyle w:val="49"/>
        <w:spacing w:beforeLines="0" w:afterLines="0" w:line="300" w:lineRule="exact"/>
        <w:ind w:firstLine="420" w:firstLineChars="200"/>
        <w:rPr>
          <w:rFonts w:ascii="Times New Roman" w:eastAsia="宋体"/>
          <w:szCs w:val="21"/>
        </w:rPr>
      </w:pPr>
      <w:bookmarkStart w:id="1" w:name="_Toc485996182"/>
      <w:bookmarkStart w:id="2" w:name="_Toc487536912"/>
      <w:r>
        <w:rPr>
          <w:rFonts w:ascii="Times New Roman" w:eastAsia="宋体"/>
          <w:szCs w:val="21"/>
        </w:rPr>
        <w:t>方法原理</w:t>
      </w:r>
      <w:bookmarkEnd w:id="1"/>
      <w:bookmarkEnd w:id="2"/>
      <w:r>
        <w:rPr>
          <w:rFonts w:ascii="Times New Roman" w:eastAsia="宋体"/>
          <w:szCs w:val="21"/>
        </w:rPr>
        <w:t>——试样经消解后</w:t>
      </w:r>
      <w:r>
        <w:rPr>
          <w:rFonts w:hint="eastAsia" w:ascii="Times New Roman" w:eastAsia="宋体"/>
          <w:szCs w:val="21"/>
        </w:rPr>
        <w:t>，</w:t>
      </w:r>
      <w:r>
        <w:rPr>
          <w:rFonts w:ascii="Times New Roman" w:eastAsia="宋体"/>
          <w:szCs w:val="21"/>
        </w:rPr>
        <w:t>由电感耦合等离子体质谱仪测定</w:t>
      </w:r>
      <w:r>
        <w:rPr>
          <w:rFonts w:hint="eastAsia" w:ascii="Times New Roman" w:eastAsia="宋体"/>
          <w:szCs w:val="21"/>
        </w:rPr>
        <w:t>，</w:t>
      </w:r>
      <w:r>
        <w:rPr>
          <w:rFonts w:ascii="Times New Roman" w:eastAsia="宋体"/>
          <w:szCs w:val="21"/>
        </w:rPr>
        <w:t>以元素特定质量数(质荷比</w:t>
      </w:r>
      <w:r>
        <w:rPr>
          <w:rFonts w:hint="eastAsia" w:ascii="Times New Roman" w:eastAsia="宋体"/>
          <w:szCs w:val="21"/>
        </w:rPr>
        <w:t>，</w:t>
      </w:r>
      <w:r>
        <w:rPr>
          <w:rFonts w:ascii="Times New Roman" w:eastAsia="宋体"/>
          <w:szCs w:val="21"/>
        </w:rPr>
        <w:t>m/z)定性</w:t>
      </w:r>
      <w:r>
        <w:rPr>
          <w:rFonts w:hint="eastAsia" w:ascii="Times New Roman" w:eastAsia="宋体"/>
          <w:szCs w:val="21"/>
        </w:rPr>
        <w:t>，</w:t>
      </w:r>
      <w:r>
        <w:rPr>
          <w:rFonts w:ascii="Times New Roman" w:eastAsia="宋体"/>
          <w:szCs w:val="21"/>
        </w:rPr>
        <w:t>采用外标法</w:t>
      </w:r>
      <w:r>
        <w:rPr>
          <w:rFonts w:hint="eastAsia" w:ascii="Times New Roman" w:eastAsia="宋体"/>
          <w:szCs w:val="21"/>
        </w:rPr>
        <w:t>，</w:t>
      </w:r>
      <w:r>
        <w:rPr>
          <w:rFonts w:ascii="Times New Roman" w:eastAsia="宋体"/>
          <w:szCs w:val="21"/>
        </w:rPr>
        <w:t>以待测元素质谱信号与内标元素质谱信号的强度比与待测元素的浓度成正比进行定量分析。</w:t>
      </w:r>
    </w:p>
    <w:p>
      <w:pPr>
        <w:pStyle w:val="48"/>
        <w:tabs>
          <w:tab w:val="clear" w:pos="720"/>
        </w:tabs>
        <w:spacing w:before="156" w:beforeLines="50" w:after="156" w:afterLines="50"/>
        <w:ind w:left="0" w:firstLine="0"/>
        <w:jc w:val="left"/>
        <w:rPr>
          <w:rFonts w:ascii="Times New Roman" w:eastAsia="宋体"/>
          <w:szCs w:val="21"/>
        </w:rPr>
      </w:pPr>
      <w:bookmarkStart w:id="3" w:name="_Toc487536920"/>
      <w:r>
        <w:rPr>
          <w:rFonts w:ascii="Times New Roman" w:eastAsia="宋体"/>
          <w:szCs w:val="21"/>
        </w:rPr>
        <w:t>2.1标准溶液配制</w:t>
      </w:r>
      <w:bookmarkEnd w:id="3"/>
    </w:p>
    <w:p>
      <w:pPr>
        <w:pStyle w:val="47"/>
        <w:tabs>
          <w:tab w:val="clear" w:pos="720"/>
        </w:tabs>
        <w:spacing w:before="156" w:beforeLines="50" w:after="156" w:afterLines="50"/>
        <w:jc w:val="left"/>
        <w:rPr>
          <w:rFonts w:ascii="Times New Roman" w:eastAsia="宋体"/>
          <w:szCs w:val="21"/>
        </w:rPr>
      </w:pPr>
      <w:bookmarkStart w:id="4" w:name="_Toc487536921"/>
      <w:r>
        <w:rPr>
          <w:rFonts w:ascii="Times New Roman" w:eastAsia="宋体"/>
          <w:szCs w:val="21"/>
        </w:rPr>
        <w:t>2.1.1磷标准工作溶液</w:t>
      </w:r>
      <w:bookmarkEnd w:id="4"/>
    </w:p>
    <w:p>
      <w:pPr>
        <w:pStyle w:val="47"/>
        <w:ind w:firstLine="420" w:firstLineChars="200"/>
        <w:rPr>
          <w:rFonts w:ascii="Times New Roman"/>
          <w:szCs w:val="21"/>
        </w:rPr>
      </w:pPr>
      <w:r>
        <w:rPr>
          <w:rFonts w:hint="eastAsia" w:ascii="Times New Roman"/>
          <w:szCs w:val="21"/>
        </w:rPr>
        <w:t>取适量目标磷（</w:t>
      </w:r>
      <w:r>
        <w:rPr>
          <w:rFonts w:ascii="Times New Roman"/>
          <w:szCs w:val="21"/>
        </w:rPr>
        <w:t>P</w:t>
      </w:r>
      <w:r>
        <w:rPr>
          <w:rFonts w:hint="eastAsia" w:ascii="Times New Roman"/>
          <w:szCs w:val="21"/>
        </w:rPr>
        <w:t>）元素储备液（</w:t>
      </w:r>
      <w:r>
        <w:rPr>
          <w:rFonts w:ascii="Times New Roman"/>
          <w:szCs w:val="21"/>
        </w:rPr>
        <w:t>1000 μg/mL</w:t>
      </w:r>
      <w:r>
        <w:rPr>
          <w:rFonts w:hint="eastAsia" w:ascii="Times New Roman"/>
          <w:szCs w:val="21"/>
        </w:rPr>
        <w:t>），用</w:t>
      </w:r>
      <w:r>
        <w:rPr>
          <w:rFonts w:ascii="Times New Roman"/>
          <w:szCs w:val="21"/>
        </w:rPr>
        <w:t>5%</w:t>
      </w:r>
      <w:r>
        <w:rPr>
          <w:rFonts w:hint="eastAsia" w:ascii="Times New Roman"/>
          <w:szCs w:val="21"/>
        </w:rPr>
        <w:t>稀硝酸逐级稀释配成标准溶液系列。</w:t>
      </w:r>
      <w:r>
        <w:rPr>
          <w:rFonts w:hint="eastAsia" w:ascii="Times New Roman" w:eastAsia="宋体"/>
          <w:szCs w:val="21"/>
        </w:rPr>
        <w:t>亦可依据样品溶液中磷元素质量浓度，适当调整标准系列磷元素质量浓度范围。磷标准系列溶液质量浓度参见附录</w:t>
      </w:r>
      <w:r>
        <w:rPr>
          <w:rFonts w:ascii="Times New Roman" w:eastAsia="宋体"/>
          <w:szCs w:val="21"/>
        </w:rPr>
        <w:t>A</w:t>
      </w:r>
      <w:r>
        <w:rPr>
          <w:rFonts w:hint="eastAsia" w:ascii="Times New Roman" w:eastAsia="宋体"/>
          <w:szCs w:val="21"/>
        </w:rPr>
        <w:t>中表</w:t>
      </w:r>
      <w:r>
        <w:rPr>
          <w:rFonts w:ascii="Times New Roman" w:eastAsia="宋体"/>
          <w:szCs w:val="21"/>
        </w:rPr>
        <w:t>A.1</w:t>
      </w:r>
      <w:r>
        <w:rPr>
          <w:rFonts w:hint="eastAsia" w:ascii="Times New Roman" w:eastAsia="宋体"/>
          <w:szCs w:val="21"/>
        </w:rPr>
        <w:t>。</w:t>
      </w:r>
    </w:p>
    <w:p>
      <w:pPr>
        <w:pStyle w:val="47"/>
        <w:tabs>
          <w:tab w:val="clear" w:pos="720"/>
        </w:tabs>
        <w:spacing w:before="156" w:beforeLines="50" w:after="156" w:afterLines="50"/>
        <w:jc w:val="left"/>
        <w:rPr>
          <w:rFonts w:ascii="Times New Roman" w:eastAsia="宋体"/>
          <w:szCs w:val="21"/>
        </w:rPr>
      </w:pPr>
      <w:bookmarkStart w:id="5" w:name="_Toc487536922"/>
      <w:r>
        <w:rPr>
          <w:rFonts w:ascii="Times New Roman" w:eastAsia="宋体"/>
          <w:szCs w:val="21"/>
        </w:rPr>
        <w:t>2.1.2钪内标溶液</w:t>
      </w:r>
      <w:bookmarkEnd w:id="5"/>
    </w:p>
    <w:p>
      <w:pPr>
        <w:pStyle w:val="47"/>
        <w:spacing w:before="156" w:after="156"/>
        <w:ind w:firstLine="420" w:firstLineChars="200"/>
        <w:rPr>
          <w:rFonts w:ascii="Times New Roman" w:eastAsia="宋体"/>
          <w:szCs w:val="21"/>
        </w:rPr>
      </w:pPr>
      <w:r>
        <w:rPr>
          <w:rFonts w:ascii="Times New Roman" w:eastAsia="宋体"/>
          <w:szCs w:val="21"/>
        </w:rPr>
        <w:t>取适量内标元素钪（Sc）</w:t>
      </w:r>
      <w:r>
        <w:rPr>
          <w:rFonts w:hint="eastAsia" w:ascii="Times New Roman" w:eastAsia="宋体"/>
          <w:szCs w:val="21"/>
        </w:rPr>
        <w:t>储</w:t>
      </w:r>
      <w:r>
        <w:rPr>
          <w:rFonts w:ascii="Times New Roman" w:eastAsia="宋体"/>
          <w:szCs w:val="21"/>
        </w:rPr>
        <w:t>备液（1000 μg/mL），用</w:t>
      </w:r>
      <w:r>
        <w:rPr>
          <w:rFonts w:ascii="Times New Roman"/>
          <w:szCs w:val="21"/>
        </w:rPr>
        <w:t>5%</w:t>
      </w:r>
      <w:r>
        <w:rPr>
          <w:rFonts w:ascii="Times New Roman" w:eastAsia="宋体"/>
          <w:szCs w:val="21"/>
        </w:rPr>
        <w:t>稀硝酸配制合适浓度的内标使用液。内标溶液使用液浓度参见附录A中表A.2。</w:t>
      </w:r>
    </w:p>
    <w:p>
      <w:pPr>
        <w:pStyle w:val="48"/>
        <w:tabs>
          <w:tab w:val="clear" w:pos="720"/>
        </w:tabs>
        <w:spacing w:before="156" w:beforeLines="50" w:after="156" w:afterLines="50"/>
        <w:ind w:left="0" w:firstLine="0"/>
        <w:jc w:val="left"/>
        <w:rPr>
          <w:rFonts w:ascii="Times New Roman" w:eastAsia="宋体"/>
          <w:szCs w:val="21"/>
        </w:rPr>
      </w:pPr>
      <w:bookmarkStart w:id="6" w:name="_Toc487536923"/>
      <w:r>
        <w:rPr>
          <w:rFonts w:ascii="Times New Roman" w:eastAsia="宋体"/>
          <w:szCs w:val="21"/>
        </w:rPr>
        <w:t>2.2 仪器和设备</w:t>
      </w:r>
      <w:bookmarkEnd w:id="6"/>
    </w:p>
    <w:p>
      <w:pPr>
        <w:pStyle w:val="48"/>
        <w:tabs>
          <w:tab w:val="clear" w:pos="720"/>
        </w:tabs>
        <w:spacing w:before="156" w:beforeLines="50" w:after="156" w:afterLines="50"/>
        <w:ind w:left="0" w:firstLine="0"/>
        <w:jc w:val="left"/>
        <w:rPr>
          <w:rFonts w:ascii="Times New Roman" w:eastAsia="宋体"/>
          <w:szCs w:val="21"/>
        </w:rPr>
      </w:pPr>
      <w:bookmarkStart w:id="7" w:name="_Toc487536924"/>
      <w:r>
        <w:rPr>
          <w:rFonts w:ascii="Times New Roman" w:eastAsia="宋体"/>
          <w:szCs w:val="21"/>
        </w:rPr>
        <w:t>2.2.1电感耦合等离子体质谱仪（ICP-MS）。</w:t>
      </w:r>
      <w:bookmarkEnd w:id="7"/>
    </w:p>
    <w:p>
      <w:pPr>
        <w:pStyle w:val="48"/>
        <w:tabs>
          <w:tab w:val="clear" w:pos="720"/>
        </w:tabs>
        <w:spacing w:before="156" w:beforeLines="50" w:after="156" w:afterLines="50"/>
        <w:ind w:left="0" w:firstLine="0"/>
        <w:jc w:val="left"/>
        <w:rPr>
          <w:rFonts w:ascii="Times New Roman" w:eastAsia="宋体"/>
          <w:szCs w:val="21"/>
        </w:rPr>
      </w:pPr>
      <w:bookmarkStart w:id="8" w:name="_Toc487536925"/>
      <w:r>
        <w:rPr>
          <w:rFonts w:ascii="Times New Roman" w:eastAsia="宋体"/>
          <w:szCs w:val="21"/>
        </w:rPr>
        <w:t>2.2.2电子天平：感量为0.1 mg。</w:t>
      </w:r>
      <w:bookmarkEnd w:id="8"/>
    </w:p>
    <w:p>
      <w:pPr>
        <w:pStyle w:val="48"/>
        <w:tabs>
          <w:tab w:val="clear" w:pos="720"/>
        </w:tabs>
        <w:spacing w:before="156" w:beforeLines="50" w:after="156" w:afterLines="50"/>
        <w:ind w:left="0" w:firstLine="0"/>
        <w:jc w:val="left"/>
        <w:rPr>
          <w:rFonts w:ascii="Times New Roman" w:eastAsia="宋体"/>
          <w:szCs w:val="21"/>
        </w:rPr>
      </w:pPr>
      <w:bookmarkStart w:id="9" w:name="_Toc487536926"/>
      <w:r>
        <w:rPr>
          <w:rFonts w:ascii="Times New Roman" w:eastAsia="宋体"/>
          <w:szCs w:val="21"/>
        </w:rPr>
        <w:t>2.2.3密闭微波消解系统，配有聚四氟乙烯消解罐。</w:t>
      </w:r>
      <w:bookmarkEnd w:id="9"/>
    </w:p>
    <w:p>
      <w:pPr>
        <w:pStyle w:val="48"/>
        <w:tabs>
          <w:tab w:val="clear" w:pos="720"/>
        </w:tabs>
        <w:spacing w:before="156" w:beforeLines="50" w:after="156" w:afterLines="50"/>
        <w:ind w:left="0" w:firstLine="0"/>
        <w:jc w:val="left"/>
        <w:rPr>
          <w:rFonts w:ascii="Times New Roman" w:eastAsia="宋体"/>
          <w:szCs w:val="21"/>
        </w:rPr>
      </w:pPr>
      <w:bookmarkStart w:id="10" w:name="_Toc487536927"/>
      <w:r>
        <w:rPr>
          <w:rFonts w:ascii="Times New Roman" w:eastAsia="宋体"/>
          <w:szCs w:val="21"/>
        </w:rPr>
        <w:t>2.2.4压力消解罐，配有聚四氟乙烯消解内罐。</w:t>
      </w:r>
      <w:bookmarkEnd w:id="10"/>
    </w:p>
    <w:p>
      <w:pPr>
        <w:pStyle w:val="48"/>
        <w:tabs>
          <w:tab w:val="clear" w:pos="720"/>
        </w:tabs>
        <w:spacing w:before="156" w:beforeLines="50" w:after="156" w:afterLines="50"/>
        <w:ind w:left="0" w:firstLine="0"/>
        <w:jc w:val="left"/>
        <w:rPr>
          <w:rFonts w:ascii="Times New Roman" w:eastAsia="宋体"/>
          <w:szCs w:val="21"/>
        </w:rPr>
      </w:pPr>
      <w:bookmarkStart w:id="11" w:name="_Toc487536928"/>
      <w:r>
        <w:rPr>
          <w:rFonts w:ascii="Times New Roman" w:eastAsia="宋体"/>
          <w:szCs w:val="21"/>
        </w:rPr>
        <w:t xml:space="preserve">2.2.5恒温干燥箱：室温～200 </w:t>
      </w:r>
      <w:r>
        <w:rPr>
          <w:rFonts w:hint="eastAsia" w:ascii="宋体" w:hAnsi="宋体" w:eastAsia="宋体" w:cs="宋体"/>
          <w:szCs w:val="21"/>
        </w:rPr>
        <w:t>℃</w:t>
      </w:r>
      <w:r>
        <w:rPr>
          <w:rFonts w:ascii="Times New Roman" w:eastAsia="宋体"/>
          <w:szCs w:val="21"/>
        </w:rPr>
        <w:t>。</w:t>
      </w:r>
      <w:bookmarkEnd w:id="11"/>
    </w:p>
    <w:p>
      <w:pPr>
        <w:pStyle w:val="48"/>
        <w:tabs>
          <w:tab w:val="clear" w:pos="720"/>
        </w:tabs>
        <w:spacing w:before="156" w:beforeLines="50" w:after="156" w:afterLines="50"/>
        <w:ind w:left="0" w:firstLine="0"/>
        <w:jc w:val="left"/>
        <w:rPr>
          <w:rFonts w:ascii="Times New Roman" w:eastAsia="宋体"/>
          <w:szCs w:val="21"/>
        </w:rPr>
      </w:pPr>
      <w:bookmarkStart w:id="12" w:name="_Toc487536929"/>
      <w:r>
        <w:rPr>
          <w:rFonts w:ascii="Times New Roman" w:eastAsia="宋体"/>
          <w:szCs w:val="21"/>
        </w:rPr>
        <w:t>2.2.6超声水浴箱。</w:t>
      </w:r>
      <w:bookmarkEnd w:id="12"/>
    </w:p>
    <w:p>
      <w:pPr>
        <w:pStyle w:val="48"/>
        <w:tabs>
          <w:tab w:val="clear" w:pos="720"/>
        </w:tabs>
        <w:spacing w:before="156" w:beforeLines="50" w:after="156" w:afterLines="50"/>
        <w:ind w:left="0" w:firstLine="0"/>
        <w:jc w:val="left"/>
        <w:rPr>
          <w:rFonts w:ascii="Times New Roman" w:eastAsia="宋体"/>
          <w:szCs w:val="21"/>
        </w:rPr>
      </w:pPr>
      <w:bookmarkStart w:id="13" w:name="_Toc487536931"/>
      <w:r>
        <w:rPr>
          <w:rFonts w:ascii="Times New Roman" w:eastAsia="宋体"/>
          <w:szCs w:val="21"/>
        </w:rPr>
        <w:t>2.3试样制备</w:t>
      </w:r>
      <w:bookmarkEnd w:id="13"/>
    </w:p>
    <w:p>
      <w:pPr>
        <w:autoSpaceDE w:val="0"/>
        <w:autoSpaceDN w:val="0"/>
        <w:adjustRightInd w:val="0"/>
        <w:ind w:firstLine="420" w:firstLineChars="200"/>
        <w:rPr>
          <w:szCs w:val="21"/>
        </w:rPr>
      </w:pPr>
      <w:r>
        <w:rPr>
          <w:szCs w:val="21"/>
        </w:rPr>
        <w:t>粉末样品搅拌均匀，备用；液体样品摇匀，备用。</w:t>
      </w:r>
    </w:p>
    <w:p>
      <w:pPr>
        <w:pStyle w:val="48"/>
        <w:tabs>
          <w:tab w:val="clear" w:pos="720"/>
        </w:tabs>
        <w:spacing w:before="156" w:beforeLines="50" w:after="156" w:afterLines="50"/>
        <w:ind w:left="0" w:firstLine="0"/>
        <w:jc w:val="left"/>
        <w:rPr>
          <w:rFonts w:ascii="Times New Roman" w:eastAsia="宋体"/>
          <w:szCs w:val="21"/>
        </w:rPr>
      </w:pPr>
      <w:bookmarkStart w:id="14" w:name="_Toc487536932"/>
      <w:r>
        <w:rPr>
          <w:rFonts w:ascii="Times New Roman" w:eastAsia="宋体"/>
          <w:szCs w:val="21"/>
        </w:rPr>
        <w:t>2.4试样消解</w:t>
      </w:r>
      <w:bookmarkEnd w:id="14"/>
    </w:p>
    <w:p>
      <w:pPr>
        <w:pStyle w:val="47"/>
        <w:tabs>
          <w:tab w:val="clear" w:pos="720"/>
        </w:tabs>
        <w:spacing w:before="156" w:beforeLines="50" w:after="156" w:afterLines="50"/>
        <w:jc w:val="left"/>
        <w:rPr>
          <w:rFonts w:ascii="Times New Roman" w:eastAsia="宋体"/>
          <w:szCs w:val="21"/>
        </w:rPr>
      </w:pPr>
      <w:bookmarkStart w:id="15" w:name="_Toc487536933"/>
      <w:r>
        <w:rPr>
          <w:rFonts w:ascii="Times New Roman" w:eastAsia="宋体"/>
          <w:szCs w:val="21"/>
        </w:rPr>
        <w:t>2.4.1微波消解</w:t>
      </w:r>
      <w:bookmarkEnd w:id="15"/>
    </w:p>
    <w:p>
      <w:pPr>
        <w:autoSpaceDE w:val="0"/>
        <w:autoSpaceDN w:val="0"/>
        <w:adjustRightInd w:val="0"/>
        <w:ind w:firstLine="420" w:firstLineChars="200"/>
        <w:rPr>
          <w:szCs w:val="21"/>
        </w:rPr>
      </w:pPr>
      <w:r>
        <w:rPr>
          <w:szCs w:val="21"/>
        </w:rPr>
        <w:t>称取样品0.2 g～0.5 g（</w:t>
      </w:r>
      <w:r>
        <w:rPr>
          <w:rFonts w:hint="eastAsia"/>
          <w:szCs w:val="21"/>
        </w:rPr>
        <w:t>称准至</w:t>
      </w:r>
      <w:r>
        <w:rPr>
          <w:szCs w:val="21"/>
        </w:rPr>
        <w:t>0.001 g），加入5 mL硝酸，加盖放置1 h，旋紧罐盖，按照微波消解仪的标准操作步骤进行消解（消解参考条件见附录B表B.1）。冷却后取出，缓慢打开罐盖排气，用少量水冲洗内盖，将消解罐放在超声水浴箱或电热板中，赶走棕色气体，取出消解内罐，将消化液转移至50 mL容量瓶中，并定容至刻度，混匀备用；同时做试剂空白试验。</w:t>
      </w:r>
    </w:p>
    <w:p>
      <w:pPr>
        <w:pStyle w:val="47"/>
        <w:tabs>
          <w:tab w:val="clear" w:pos="720"/>
        </w:tabs>
        <w:spacing w:before="156" w:beforeLines="50" w:after="156" w:afterLines="50"/>
        <w:jc w:val="left"/>
        <w:rPr>
          <w:rFonts w:ascii="Times New Roman" w:eastAsia="宋体"/>
          <w:szCs w:val="21"/>
        </w:rPr>
      </w:pPr>
      <w:bookmarkStart w:id="16" w:name="_Toc487536934"/>
      <w:r>
        <w:rPr>
          <w:rFonts w:ascii="Times New Roman" w:eastAsia="宋体"/>
          <w:szCs w:val="21"/>
        </w:rPr>
        <w:t>2.4.2压力罐消解</w:t>
      </w:r>
      <w:bookmarkEnd w:id="16"/>
    </w:p>
    <w:p>
      <w:pPr>
        <w:autoSpaceDE w:val="0"/>
        <w:autoSpaceDN w:val="0"/>
        <w:adjustRightInd w:val="0"/>
        <w:ind w:firstLine="420" w:firstLineChars="200"/>
        <w:rPr>
          <w:szCs w:val="21"/>
        </w:rPr>
      </w:pPr>
      <w:r>
        <w:rPr>
          <w:szCs w:val="21"/>
        </w:rPr>
        <w:t>称取样品0.2 g～0.5 g（</w:t>
      </w:r>
      <w:r>
        <w:rPr>
          <w:rFonts w:hint="eastAsia"/>
          <w:szCs w:val="21"/>
        </w:rPr>
        <w:t>称准至</w:t>
      </w:r>
      <w:r>
        <w:rPr>
          <w:szCs w:val="21"/>
        </w:rPr>
        <w:t>0.001 g）消解内罐中，加入5 mL硝酸，盖好内盖，放置1 h，旋紧不锈钢外套，放入恒温干燥箱消解（消解参考条件见附录B表B.1）。在箱内自然冷却至室温，然后缓慢旋松不锈钢外套，取出消解内罐，用少量水冲洗内盖，将消解罐放在超声水浴箱或电热板中，赶走棕色气体。将消</w:t>
      </w:r>
      <w:r>
        <w:rPr>
          <w:rFonts w:hint="eastAsia"/>
          <w:szCs w:val="21"/>
        </w:rPr>
        <w:t>解</w:t>
      </w:r>
      <w:r>
        <w:rPr>
          <w:szCs w:val="21"/>
        </w:rPr>
        <w:t>液转移至50 mL容量瓶中，并定容至刻度，混匀备用；同时做试剂空白试验。</w:t>
      </w:r>
    </w:p>
    <w:p>
      <w:pPr>
        <w:pStyle w:val="48"/>
        <w:tabs>
          <w:tab w:val="clear" w:pos="720"/>
        </w:tabs>
        <w:spacing w:before="156" w:beforeLines="50" w:after="156" w:afterLines="50"/>
        <w:ind w:left="0" w:firstLine="0"/>
        <w:jc w:val="left"/>
        <w:rPr>
          <w:rFonts w:ascii="Times New Roman" w:eastAsia="宋体"/>
          <w:szCs w:val="21"/>
        </w:rPr>
      </w:pPr>
      <w:bookmarkStart w:id="17" w:name="_Toc487536935"/>
      <w:r>
        <w:rPr>
          <w:rFonts w:ascii="Times New Roman" w:eastAsia="宋体"/>
          <w:szCs w:val="21"/>
        </w:rPr>
        <w:t>2.5仪器参考条件</w:t>
      </w:r>
      <w:bookmarkEnd w:id="17"/>
    </w:p>
    <w:p>
      <w:pPr>
        <w:pStyle w:val="47"/>
        <w:tabs>
          <w:tab w:val="clear" w:pos="720"/>
        </w:tabs>
        <w:spacing w:before="156" w:beforeLines="50" w:after="156" w:afterLines="50"/>
        <w:jc w:val="left"/>
        <w:rPr>
          <w:rFonts w:ascii="Times New Roman" w:eastAsia="宋体"/>
          <w:szCs w:val="21"/>
        </w:rPr>
      </w:pPr>
      <w:bookmarkStart w:id="18" w:name="_Toc487536936"/>
      <w:r>
        <w:rPr>
          <w:rFonts w:ascii="Times New Roman" w:eastAsia="宋体"/>
          <w:szCs w:val="21"/>
        </w:rPr>
        <w:t>2.5.1优化仪器操作条件（仪器操作参考条件见附录B表B.2），使灵敏度、氧化物和双电荷化合物达到测定要求。</w:t>
      </w:r>
      <w:bookmarkEnd w:id="18"/>
    </w:p>
    <w:p>
      <w:pPr>
        <w:autoSpaceDE w:val="0"/>
        <w:autoSpaceDN w:val="0"/>
        <w:adjustRightInd w:val="0"/>
        <w:rPr>
          <w:szCs w:val="21"/>
        </w:rPr>
      </w:pPr>
      <w:bookmarkStart w:id="19" w:name="_Toc487536937"/>
      <w:r>
        <w:rPr>
          <w:szCs w:val="21"/>
        </w:rPr>
        <w:t>测定参考条件：在调谐仪器达到测定要求后，编辑测定方法、选择磷元素同位素</w:t>
      </w:r>
      <w:bookmarkEnd w:id="19"/>
      <w:r>
        <w:rPr>
          <w:szCs w:val="21"/>
        </w:rPr>
        <w:t>，依次将试剂空白、标准系列、样品溶液引入仪器进行测定。</w:t>
      </w:r>
    </w:p>
    <w:p>
      <w:pPr>
        <w:pStyle w:val="47"/>
        <w:tabs>
          <w:tab w:val="clear" w:pos="720"/>
        </w:tabs>
        <w:spacing w:before="156" w:beforeLines="50" w:after="156" w:afterLines="50"/>
        <w:jc w:val="left"/>
        <w:rPr>
          <w:rFonts w:ascii="Times New Roman" w:eastAsia="宋体"/>
          <w:szCs w:val="21"/>
        </w:rPr>
      </w:pPr>
      <w:bookmarkStart w:id="20" w:name="_Toc487536938"/>
      <w:r>
        <w:rPr>
          <w:rFonts w:ascii="Times New Roman" w:eastAsia="宋体"/>
          <w:szCs w:val="21"/>
        </w:rPr>
        <w:t>2.5.2可采用干扰校正方程对测定结果进行校正，仪器软件一般都含有干扰校正方程。</w:t>
      </w:r>
      <w:bookmarkEnd w:id="20"/>
    </w:p>
    <w:p>
      <w:pPr>
        <w:pStyle w:val="48"/>
        <w:tabs>
          <w:tab w:val="clear" w:pos="720"/>
        </w:tabs>
        <w:spacing w:before="156" w:beforeLines="50" w:after="156" w:afterLines="50"/>
        <w:ind w:left="0" w:firstLine="0"/>
        <w:jc w:val="left"/>
        <w:rPr>
          <w:rFonts w:ascii="Times New Roman" w:eastAsia="宋体"/>
          <w:szCs w:val="21"/>
        </w:rPr>
      </w:pPr>
      <w:bookmarkStart w:id="21" w:name="_Toc487536939"/>
      <w:r>
        <w:rPr>
          <w:rFonts w:ascii="Times New Roman" w:eastAsia="宋体"/>
          <w:szCs w:val="21"/>
        </w:rPr>
        <w:t>2.6标准曲线的制作</w:t>
      </w:r>
      <w:bookmarkEnd w:id="21"/>
    </w:p>
    <w:p>
      <w:pPr>
        <w:autoSpaceDE w:val="0"/>
        <w:autoSpaceDN w:val="0"/>
        <w:adjustRightInd w:val="0"/>
        <w:ind w:firstLine="420" w:firstLineChars="200"/>
        <w:rPr>
          <w:szCs w:val="21"/>
        </w:rPr>
      </w:pPr>
      <w:r>
        <w:rPr>
          <w:szCs w:val="21"/>
        </w:rPr>
        <w:t>将</w:t>
      </w:r>
      <w:r>
        <w:rPr>
          <w:rFonts w:hint="eastAsia"/>
          <w:szCs w:val="21"/>
        </w:rPr>
        <w:t>磷标准系列工作溶液</w:t>
      </w:r>
      <w:bookmarkStart w:id="22" w:name="_Hlk162864180"/>
      <w:r>
        <w:rPr>
          <w:rFonts w:hint="eastAsia"/>
          <w:szCs w:val="21"/>
        </w:rPr>
        <w:t>与钪内标溶液</w:t>
      </w:r>
      <w:bookmarkEnd w:id="22"/>
      <w:r>
        <w:rPr>
          <w:rFonts w:hint="eastAsia"/>
          <w:szCs w:val="21"/>
        </w:rPr>
        <w:t>注入电感耦合等离子体质谱仪中</w:t>
      </w:r>
      <w:r>
        <w:rPr>
          <w:szCs w:val="21"/>
        </w:rPr>
        <w:t>，测定目标磷</w:t>
      </w:r>
      <w:r>
        <w:rPr>
          <w:rFonts w:hint="eastAsia"/>
          <w:szCs w:val="21"/>
        </w:rPr>
        <w:t>（</w:t>
      </w:r>
      <w:r>
        <w:rPr>
          <w:szCs w:val="21"/>
        </w:rPr>
        <w:t>P</w:t>
      </w:r>
      <w:r>
        <w:rPr>
          <w:rFonts w:hint="eastAsia"/>
          <w:szCs w:val="21"/>
        </w:rPr>
        <w:t>）</w:t>
      </w:r>
      <w:r>
        <w:rPr>
          <w:szCs w:val="21"/>
        </w:rPr>
        <w:t>和内标钪（Sc）的信号响应值，以磷</w:t>
      </w:r>
      <w:r>
        <w:rPr>
          <w:rFonts w:hint="eastAsia"/>
          <w:szCs w:val="21"/>
        </w:rPr>
        <w:t>（</w:t>
      </w:r>
      <w:r>
        <w:rPr>
          <w:szCs w:val="21"/>
        </w:rPr>
        <w:t>P</w:t>
      </w:r>
      <w:r>
        <w:rPr>
          <w:rFonts w:hint="eastAsia"/>
          <w:szCs w:val="21"/>
        </w:rPr>
        <w:t>）</w:t>
      </w:r>
      <w:r>
        <w:rPr>
          <w:szCs w:val="21"/>
        </w:rPr>
        <w:t>和钪（Sc）信号响应值比值为横坐标，以磷</w:t>
      </w:r>
      <w:r>
        <w:rPr>
          <w:rFonts w:hint="eastAsia"/>
          <w:szCs w:val="21"/>
        </w:rPr>
        <w:t>（</w:t>
      </w:r>
      <w:r>
        <w:rPr>
          <w:szCs w:val="21"/>
        </w:rPr>
        <w:t>P</w:t>
      </w:r>
      <w:r>
        <w:rPr>
          <w:rFonts w:hint="eastAsia"/>
          <w:szCs w:val="21"/>
        </w:rPr>
        <w:t>）</w:t>
      </w:r>
      <w:r>
        <w:rPr>
          <w:szCs w:val="21"/>
        </w:rPr>
        <w:t>元素的浓度为纵坐标，绘制标准曲线。</w:t>
      </w:r>
    </w:p>
    <w:p>
      <w:pPr>
        <w:pStyle w:val="48"/>
        <w:tabs>
          <w:tab w:val="clear" w:pos="720"/>
        </w:tabs>
        <w:spacing w:before="156" w:beforeLines="50" w:after="156" w:afterLines="50"/>
        <w:ind w:left="0" w:firstLine="0"/>
        <w:jc w:val="left"/>
        <w:rPr>
          <w:rFonts w:ascii="Times New Roman" w:eastAsia="宋体"/>
          <w:szCs w:val="21"/>
        </w:rPr>
      </w:pPr>
      <w:bookmarkStart w:id="23" w:name="_Toc487536940"/>
      <w:r>
        <w:rPr>
          <w:rFonts w:ascii="Times New Roman" w:eastAsia="宋体"/>
          <w:szCs w:val="21"/>
        </w:rPr>
        <w:t>2.7试样溶液的测定</w:t>
      </w:r>
      <w:bookmarkEnd w:id="23"/>
    </w:p>
    <w:p>
      <w:pPr>
        <w:autoSpaceDE w:val="0"/>
        <w:autoSpaceDN w:val="0"/>
        <w:adjustRightInd w:val="0"/>
        <w:ind w:firstLine="420" w:firstLineChars="200"/>
        <w:rPr>
          <w:szCs w:val="21"/>
        </w:rPr>
      </w:pPr>
      <w:bookmarkStart w:id="24" w:name="_Hlk162864110"/>
      <w:r>
        <w:rPr>
          <w:rFonts w:hint="eastAsia"/>
          <w:szCs w:val="21"/>
        </w:rPr>
        <w:t>在同样的电感耦合等离子体质谱仪工作条件下，将空白对照溶液、待测样品溶液分别与钪内标溶液混合，注入电感耦合等离子体质谱仪中，分别得到空白对照溶液、待测样品溶液中</w:t>
      </w:r>
      <w:r>
        <w:rPr>
          <w:szCs w:val="21"/>
        </w:rPr>
        <w:t>磷</w:t>
      </w:r>
      <w:r>
        <w:rPr>
          <w:rFonts w:hint="eastAsia"/>
          <w:szCs w:val="21"/>
        </w:rPr>
        <w:t>（</w:t>
      </w:r>
      <w:r>
        <w:rPr>
          <w:szCs w:val="21"/>
        </w:rPr>
        <w:t>P</w:t>
      </w:r>
      <w:r>
        <w:rPr>
          <w:rFonts w:hint="eastAsia"/>
          <w:szCs w:val="21"/>
        </w:rPr>
        <w:t>）元素与钪内标溶液中</w:t>
      </w:r>
      <w:r>
        <w:rPr>
          <w:szCs w:val="21"/>
        </w:rPr>
        <w:t>钪（Sc）信号响应值</w:t>
      </w:r>
      <w:r>
        <w:rPr>
          <w:rFonts w:hint="eastAsia"/>
          <w:szCs w:val="21"/>
        </w:rPr>
        <w:t>比值</w:t>
      </w:r>
      <w:r>
        <w:rPr>
          <w:szCs w:val="21"/>
        </w:rPr>
        <w:t>，</w:t>
      </w:r>
      <w:bookmarkEnd w:id="24"/>
      <w:r>
        <w:rPr>
          <w:szCs w:val="21"/>
        </w:rPr>
        <w:t>根据标准曲线计算待测液中磷元素的浓度。</w:t>
      </w:r>
    </w:p>
    <w:p>
      <w:pPr>
        <w:pStyle w:val="48"/>
        <w:tabs>
          <w:tab w:val="clear" w:pos="720"/>
        </w:tabs>
        <w:spacing w:before="156" w:beforeLines="50" w:after="156" w:afterLines="50"/>
        <w:ind w:left="0" w:firstLine="0"/>
        <w:jc w:val="left"/>
        <w:rPr>
          <w:rFonts w:ascii="Times New Roman" w:eastAsia="宋体"/>
          <w:szCs w:val="21"/>
        </w:rPr>
      </w:pPr>
      <w:bookmarkStart w:id="25" w:name="_Toc487536941"/>
      <w:r>
        <w:rPr>
          <w:rFonts w:ascii="Times New Roman" w:eastAsia="宋体"/>
          <w:szCs w:val="21"/>
        </w:rPr>
        <w:t>2.8分析结果的表述</w:t>
      </w:r>
      <w:bookmarkEnd w:id="25"/>
    </w:p>
    <w:p>
      <w:pPr>
        <w:autoSpaceDE w:val="0"/>
        <w:autoSpaceDN w:val="0"/>
        <w:adjustRightInd w:val="0"/>
        <w:spacing w:before="240"/>
        <w:ind w:firstLine="420" w:firstLineChars="200"/>
        <w:rPr>
          <w:szCs w:val="21"/>
        </w:rPr>
      </w:pPr>
      <w:r>
        <w:rPr>
          <w:szCs w:val="21"/>
        </w:rPr>
        <w:t>试样中磷的质量分数（以P</w:t>
      </w:r>
      <w:r>
        <w:rPr>
          <w:szCs w:val="21"/>
          <w:vertAlign w:val="subscript"/>
        </w:rPr>
        <w:t>2</w:t>
      </w:r>
      <w:r>
        <w:rPr>
          <w:szCs w:val="21"/>
        </w:rPr>
        <w:t>O</w:t>
      </w:r>
      <w:r>
        <w:rPr>
          <w:szCs w:val="21"/>
          <w:vertAlign w:val="subscript"/>
        </w:rPr>
        <w:t>5</w:t>
      </w:r>
      <w:r>
        <w:rPr>
          <w:szCs w:val="21"/>
        </w:rPr>
        <w:t>计算）按照式（1）计算：</w:t>
      </w:r>
    </w:p>
    <w:p>
      <w:pPr>
        <w:pStyle w:val="51"/>
        <w:rPr>
          <w:rFonts w:ascii="Times New Roman"/>
          <w:szCs w:val="21"/>
        </w:rPr>
      </w:pPr>
      <w:r>
        <w:rPr>
          <w:rFonts w:ascii="Times New Roman"/>
          <w:szCs w:val="21"/>
        </w:rPr>
        <w:tab/>
      </w:r>
      <w:r>
        <w:rPr>
          <w:rFonts w:ascii="Times New Roman"/>
          <w:szCs w:val="21"/>
        </w:rPr>
        <w:t>X=</w:t>
      </w:r>
      <w:r>
        <w:rPr>
          <w:rFonts w:ascii="Times New Roman"/>
          <w:position w:val="-24"/>
          <w:szCs w:val="21"/>
        </w:rPr>
        <w:object>
          <v:shape id="_x0000_i1025" o:spt="75" type="#_x0000_t75" style="height:31.2pt;width:168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Times New Roman"/>
          <w:szCs w:val="21"/>
        </w:rPr>
        <w:tab/>
      </w:r>
      <w:r>
        <w:rPr>
          <w:rFonts w:ascii="Times New Roman"/>
          <w:szCs w:val="21"/>
        </w:rPr>
        <w:t>(</w:t>
      </w:r>
      <w:r>
        <w:rPr>
          <w:rFonts w:ascii="Times New Roman"/>
          <w:szCs w:val="21"/>
        </w:rPr>
        <w:fldChar w:fldCharType="begin"/>
      </w:r>
      <w:r>
        <w:rPr>
          <w:rFonts w:ascii="Times New Roman"/>
          <w:szCs w:val="21"/>
        </w:rPr>
        <w:instrText xml:space="preserve"> SEQ 标准自动公式 \* ARABIC </w:instrText>
      </w:r>
      <w:r>
        <w:rPr>
          <w:rFonts w:ascii="Times New Roman"/>
          <w:szCs w:val="21"/>
        </w:rPr>
        <w:fldChar w:fldCharType="separate"/>
      </w:r>
      <w:r>
        <w:rPr>
          <w:rFonts w:ascii="Times New Roman"/>
          <w:szCs w:val="21"/>
        </w:rPr>
        <w:t>1</w:t>
      </w:r>
      <w:r>
        <w:rPr>
          <w:rFonts w:ascii="Times New Roman"/>
          <w:szCs w:val="21"/>
        </w:rPr>
        <w:fldChar w:fldCharType="end"/>
      </w:r>
      <w:r>
        <w:rPr>
          <w:rFonts w:ascii="Times New Roman"/>
          <w:szCs w:val="21"/>
        </w:rPr>
        <w:t>)</w:t>
      </w:r>
    </w:p>
    <w:p>
      <w:pPr>
        <w:pStyle w:val="27"/>
        <w:ind w:firstLine="420"/>
        <w:rPr>
          <w:rFonts w:ascii="Times New Roman"/>
          <w:szCs w:val="21"/>
        </w:rPr>
      </w:pPr>
      <w:r>
        <w:rPr>
          <w:rFonts w:ascii="Times New Roman"/>
          <w:szCs w:val="21"/>
        </w:rPr>
        <w:t>式中：</w:t>
      </w:r>
    </w:p>
    <w:p>
      <w:pPr>
        <w:autoSpaceDE w:val="0"/>
        <w:autoSpaceDN w:val="0"/>
        <w:adjustRightInd w:val="0"/>
        <w:rPr>
          <w:szCs w:val="21"/>
        </w:rPr>
      </w:pPr>
      <w:r>
        <w:rPr>
          <w:szCs w:val="21"/>
        </w:rPr>
        <w:t>X—试样中磷的质量分数（以P</w:t>
      </w:r>
      <w:r>
        <w:rPr>
          <w:szCs w:val="21"/>
          <w:vertAlign w:val="subscript"/>
        </w:rPr>
        <w:t>2</w:t>
      </w:r>
      <w:r>
        <w:rPr>
          <w:szCs w:val="21"/>
        </w:rPr>
        <w:t>O</w:t>
      </w:r>
      <w:r>
        <w:rPr>
          <w:szCs w:val="21"/>
          <w:vertAlign w:val="subscript"/>
        </w:rPr>
        <w:t>5</w:t>
      </w:r>
      <w:r>
        <w:rPr>
          <w:szCs w:val="21"/>
        </w:rPr>
        <w:t>计算），单位为百分数（%）；</w:t>
      </w:r>
    </w:p>
    <w:p>
      <w:pPr>
        <w:autoSpaceDE w:val="0"/>
        <w:autoSpaceDN w:val="0"/>
        <w:adjustRightInd w:val="0"/>
        <w:rPr>
          <w:szCs w:val="21"/>
        </w:rPr>
      </w:pPr>
      <w:r>
        <w:rPr>
          <w:i/>
          <w:iCs/>
          <w:szCs w:val="21"/>
        </w:rPr>
        <w:t>ρ</w:t>
      </w:r>
      <w:r>
        <w:rPr>
          <w:szCs w:val="21"/>
        </w:rPr>
        <w:t>—试样溶液中磷元素质量浓度，单位为微克每升（μg/L）；</w:t>
      </w:r>
    </w:p>
    <w:p>
      <w:pPr>
        <w:autoSpaceDE w:val="0"/>
        <w:autoSpaceDN w:val="0"/>
        <w:adjustRightInd w:val="0"/>
        <w:rPr>
          <w:szCs w:val="21"/>
        </w:rPr>
      </w:pPr>
      <w:r>
        <w:rPr>
          <w:i/>
          <w:iCs/>
          <w:szCs w:val="21"/>
        </w:rPr>
        <w:t>ρ</w:t>
      </w:r>
      <w:r>
        <w:rPr>
          <w:szCs w:val="21"/>
          <w:vertAlign w:val="subscript"/>
        </w:rPr>
        <w:t>0</w:t>
      </w:r>
      <w:r>
        <w:rPr>
          <w:szCs w:val="21"/>
        </w:rPr>
        <w:t>—试样空白液中磷元素质量浓度，单位为微克每升（μg/L）；</w:t>
      </w:r>
    </w:p>
    <w:p>
      <w:pPr>
        <w:autoSpaceDE w:val="0"/>
        <w:autoSpaceDN w:val="0"/>
        <w:adjustRightInd w:val="0"/>
        <w:rPr>
          <w:szCs w:val="21"/>
        </w:rPr>
      </w:pPr>
      <w:r>
        <w:rPr>
          <w:i/>
          <w:iCs/>
          <w:szCs w:val="21"/>
        </w:rPr>
        <w:t>V</w:t>
      </w:r>
      <w:r>
        <w:rPr>
          <w:szCs w:val="21"/>
        </w:rPr>
        <w:t>—试样消化液定容体积，单位为毫升（mL）；</w:t>
      </w:r>
    </w:p>
    <w:p>
      <w:pPr>
        <w:autoSpaceDE w:val="0"/>
        <w:autoSpaceDN w:val="0"/>
        <w:adjustRightInd w:val="0"/>
        <w:rPr>
          <w:szCs w:val="21"/>
        </w:rPr>
      </w:pPr>
      <w:r>
        <w:rPr>
          <w:szCs w:val="21"/>
        </w:rPr>
        <w:t>2.2913-磷质量换算为五氧化二磷质量的系数；</w:t>
      </w:r>
    </w:p>
    <w:p>
      <w:pPr>
        <w:autoSpaceDE w:val="0"/>
        <w:autoSpaceDN w:val="0"/>
        <w:adjustRightInd w:val="0"/>
        <w:rPr>
          <w:szCs w:val="21"/>
        </w:rPr>
      </w:pPr>
      <w:r>
        <w:rPr>
          <w:szCs w:val="21"/>
        </w:rPr>
        <w:t>0.0001—毫克每千克（mg/kg）转化为百分数（%）的系数；</w:t>
      </w:r>
    </w:p>
    <w:p>
      <w:pPr>
        <w:autoSpaceDE w:val="0"/>
        <w:autoSpaceDN w:val="0"/>
        <w:adjustRightInd w:val="0"/>
        <w:rPr>
          <w:szCs w:val="21"/>
        </w:rPr>
      </w:pPr>
      <w:r>
        <w:rPr>
          <w:szCs w:val="21"/>
        </w:rPr>
        <w:t>1000—毫升（mL）转化为升（L）的系数；</w:t>
      </w:r>
    </w:p>
    <w:p>
      <w:pPr>
        <w:autoSpaceDE w:val="0"/>
        <w:autoSpaceDN w:val="0"/>
        <w:adjustRightInd w:val="0"/>
        <w:rPr>
          <w:szCs w:val="21"/>
        </w:rPr>
      </w:pPr>
      <w:r>
        <w:rPr>
          <w:i/>
          <w:iCs/>
          <w:szCs w:val="21"/>
        </w:rPr>
        <w:t>f</w:t>
      </w:r>
      <w:r>
        <w:rPr>
          <w:szCs w:val="21"/>
        </w:rPr>
        <w:t>—试样稀释倍数；</w:t>
      </w:r>
    </w:p>
    <w:p>
      <w:pPr>
        <w:autoSpaceDE w:val="0"/>
        <w:autoSpaceDN w:val="0"/>
        <w:adjustRightInd w:val="0"/>
        <w:rPr>
          <w:szCs w:val="21"/>
        </w:rPr>
      </w:pPr>
      <w:r>
        <w:rPr>
          <w:i/>
          <w:iCs/>
          <w:szCs w:val="21"/>
        </w:rPr>
        <w:t>m</w:t>
      </w:r>
      <w:r>
        <w:rPr>
          <w:szCs w:val="21"/>
        </w:rPr>
        <w:t>—试样称取质量，单位为克（g）；</w:t>
      </w:r>
    </w:p>
    <w:p>
      <w:pPr>
        <w:autoSpaceDE w:val="0"/>
        <w:autoSpaceDN w:val="0"/>
        <w:adjustRightInd w:val="0"/>
        <w:ind w:firstLine="420" w:firstLineChars="200"/>
        <w:rPr>
          <w:szCs w:val="21"/>
        </w:rPr>
      </w:pPr>
      <w:r>
        <w:rPr>
          <w:szCs w:val="21"/>
        </w:rPr>
        <w:t>计算结果以重复性条件下获得的两次独立测定结果的算术平均值表示，结果保留二位有效数字。</w:t>
      </w:r>
    </w:p>
    <w:p>
      <w:pPr>
        <w:pStyle w:val="48"/>
        <w:tabs>
          <w:tab w:val="clear" w:pos="720"/>
        </w:tabs>
        <w:spacing w:before="156" w:beforeLines="50" w:after="156" w:afterLines="50"/>
        <w:ind w:left="0" w:firstLine="0"/>
        <w:jc w:val="left"/>
        <w:rPr>
          <w:rFonts w:ascii="Times New Roman" w:eastAsia="宋体"/>
          <w:szCs w:val="21"/>
        </w:rPr>
      </w:pPr>
      <w:r>
        <w:rPr>
          <w:rFonts w:ascii="Times New Roman" w:eastAsia="宋体"/>
          <w:szCs w:val="21"/>
        </w:rPr>
        <w:t>2.9</w:t>
      </w:r>
      <w:bookmarkStart w:id="26" w:name="_Toc487536942"/>
      <w:r>
        <w:rPr>
          <w:rFonts w:ascii="Times New Roman" w:eastAsia="宋体"/>
          <w:szCs w:val="21"/>
        </w:rPr>
        <w:t>精密度</w:t>
      </w:r>
      <w:bookmarkEnd w:id="26"/>
    </w:p>
    <w:p>
      <w:pPr>
        <w:autoSpaceDE w:val="0"/>
        <w:autoSpaceDN w:val="0"/>
        <w:adjustRightInd w:val="0"/>
        <w:ind w:firstLine="420" w:firstLineChars="200"/>
        <w:rPr>
          <w:szCs w:val="21"/>
        </w:rPr>
      </w:pPr>
      <w:r>
        <w:rPr>
          <w:szCs w:val="21"/>
        </w:rPr>
        <w:t>在重复性条件下获得的两次独立测定结果的绝对差值不大于两个测定值的算术平均值的5% 。</w:t>
      </w:r>
    </w:p>
    <w:p>
      <w:pPr>
        <w:pStyle w:val="35"/>
        <w:numPr>
          <w:ilvl w:val="0"/>
          <w:numId w:val="2"/>
        </w:numPr>
        <w:tabs>
          <w:tab w:val="left" w:pos="360"/>
        </w:tabs>
        <w:rPr>
          <w:rFonts w:ascii="Times New Roman" w:eastAsia="宋体"/>
          <w:szCs w:val="21"/>
        </w:rPr>
      </w:pPr>
      <w:r>
        <w:rPr>
          <w:rFonts w:ascii="Times New Roman" w:eastAsia="宋体"/>
          <w:szCs w:val="21"/>
        </w:rPr>
        <w:br w:type="textWrapping"/>
      </w:r>
      <w:bookmarkStart w:id="27" w:name="_Toc487536944"/>
      <w:r>
        <w:rPr>
          <w:rFonts w:ascii="Times New Roman" w:eastAsia="宋体"/>
          <w:szCs w:val="21"/>
        </w:rPr>
        <w:t>（资料性）</w:t>
      </w:r>
      <w:r>
        <w:rPr>
          <w:rFonts w:ascii="Times New Roman" w:eastAsia="宋体"/>
          <w:szCs w:val="21"/>
        </w:rPr>
        <w:br w:type="textWrapping"/>
      </w:r>
      <w:r>
        <w:rPr>
          <w:rFonts w:ascii="Times New Roman" w:eastAsia="宋体"/>
          <w:szCs w:val="21"/>
        </w:rPr>
        <w:t>标准溶液和内标溶液使用液</w:t>
      </w:r>
      <w:bookmarkEnd w:id="27"/>
    </w:p>
    <w:p>
      <w:pPr>
        <w:pStyle w:val="52"/>
        <w:ind w:left="420" w:firstLine="0"/>
        <w:rPr>
          <w:rFonts w:ascii="Times New Roman"/>
          <w:szCs w:val="21"/>
        </w:rPr>
      </w:pPr>
      <w:r>
        <w:rPr>
          <w:rFonts w:ascii="Times New Roman"/>
          <w:szCs w:val="21"/>
        </w:rPr>
        <w:t>A.1磷（P）标准系列溶液质量浓度</w:t>
      </w:r>
    </w:p>
    <w:p>
      <w:pPr>
        <w:pStyle w:val="53"/>
        <w:spacing w:before="156" w:after="156"/>
        <w:ind w:left="0" w:firstLine="0"/>
        <w:rPr>
          <w:rFonts w:ascii="Times New Roman" w:eastAsia="宋体"/>
        </w:rPr>
      </w:pPr>
      <w:r>
        <w:rPr>
          <w:rFonts w:ascii="Times New Roman" w:eastAsia="宋体"/>
        </w:rPr>
        <w:t>表A.1磷（P）标准系列溶液质量浓度</w:t>
      </w:r>
    </w:p>
    <w:tbl>
      <w:tblPr>
        <w:tblStyle w:val="15"/>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70"/>
        <w:gridCol w:w="1262"/>
        <w:gridCol w:w="1262"/>
        <w:gridCol w:w="1262"/>
        <w:gridCol w:w="1262"/>
        <w:gridCol w:w="1262"/>
        <w:gridCol w:w="12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vMerge w:val="restart"/>
            <w:tcBorders>
              <w:top w:val="single" w:color="auto" w:sz="8" w:space="0"/>
            </w:tcBorders>
          </w:tcPr>
          <w:p>
            <w:pPr>
              <w:autoSpaceDE w:val="0"/>
              <w:autoSpaceDN w:val="0"/>
              <w:adjustRightInd w:val="0"/>
              <w:rPr>
                <w:szCs w:val="21"/>
              </w:rPr>
            </w:pPr>
            <w:r>
              <w:rPr>
                <w:szCs w:val="21"/>
              </w:rPr>
              <w:t>序号</w:t>
            </w:r>
          </w:p>
        </w:tc>
        <w:tc>
          <w:tcPr>
            <w:tcW w:w="1470" w:type="dxa"/>
            <w:vMerge w:val="restart"/>
            <w:tcBorders>
              <w:top w:val="single" w:color="auto" w:sz="8" w:space="0"/>
            </w:tcBorders>
          </w:tcPr>
          <w:p>
            <w:pPr>
              <w:rPr>
                <w:szCs w:val="21"/>
              </w:rPr>
            </w:pPr>
            <w:r>
              <w:rPr>
                <w:szCs w:val="21"/>
              </w:rPr>
              <w:t>目标元素</w:t>
            </w:r>
          </w:p>
        </w:tc>
        <w:tc>
          <w:tcPr>
            <w:tcW w:w="7572" w:type="dxa"/>
            <w:gridSpan w:val="6"/>
            <w:tcBorders>
              <w:top w:val="single" w:color="auto" w:sz="8" w:space="0"/>
              <w:bottom w:val="single" w:color="auto" w:sz="8" w:space="0"/>
            </w:tcBorders>
          </w:tcPr>
          <w:p>
            <w:pPr>
              <w:ind w:firstLine="2625" w:firstLineChars="1250"/>
              <w:rPr>
                <w:szCs w:val="21"/>
              </w:rPr>
            </w:pPr>
            <w:r>
              <w:rPr>
                <w:szCs w:val="21"/>
              </w:rPr>
              <w:t>标准系列质量浓度（μg/L）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vMerge w:val="continue"/>
          </w:tcPr>
          <w:p>
            <w:pPr>
              <w:autoSpaceDE w:val="0"/>
              <w:autoSpaceDN w:val="0"/>
              <w:adjustRightInd w:val="0"/>
              <w:rPr>
                <w:szCs w:val="21"/>
              </w:rPr>
            </w:pPr>
          </w:p>
        </w:tc>
        <w:tc>
          <w:tcPr>
            <w:tcW w:w="1470" w:type="dxa"/>
            <w:vMerge w:val="continue"/>
            <w:vAlign w:val="center"/>
          </w:tcPr>
          <w:p>
            <w:pPr>
              <w:rPr>
                <w:szCs w:val="21"/>
              </w:rPr>
            </w:pPr>
          </w:p>
        </w:tc>
        <w:tc>
          <w:tcPr>
            <w:tcW w:w="1262" w:type="dxa"/>
            <w:tcBorders>
              <w:top w:val="single" w:color="auto" w:sz="8" w:space="0"/>
            </w:tcBorders>
          </w:tcPr>
          <w:p>
            <w:pPr>
              <w:rPr>
                <w:szCs w:val="21"/>
              </w:rPr>
            </w:pPr>
            <w:r>
              <w:rPr>
                <w:szCs w:val="21"/>
              </w:rPr>
              <w:t>N0</w:t>
            </w:r>
          </w:p>
        </w:tc>
        <w:tc>
          <w:tcPr>
            <w:tcW w:w="1262" w:type="dxa"/>
            <w:tcBorders>
              <w:top w:val="single" w:color="auto" w:sz="8" w:space="0"/>
            </w:tcBorders>
          </w:tcPr>
          <w:p>
            <w:pPr>
              <w:rPr>
                <w:szCs w:val="21"/>
              </w:rPr>
            </w:pPr>
            <w:r>
              <w:rPr>
                <w:szCs w:val="21"/>
              </w:rPr>
              <w:t>N1</w:t>
            </w:r>
          </w:p>
        </w:tc>
        <w:tc>
          <w:tcPr>
            <w:tcW w:w="1262" w:type="dxa"/>
            <w:tcBorders>
              <w:top w:val="single" w:color="auto" w:sz="8" w:space="0"/>
            </w:tcBorders>
          </w:tcPr>
          <w:p>
            <w:pPr>
              <w:rPr>
                <w:szCs w:val="21"/>
              </w:rPr>
            </w:pPr>
            <w:r>
              <w:rPr>
                <w:szCs w:val="21"/>
              </w:rPr>
              <w:t>N2</w:t>
            </w:r>
          </w:p>
        </w:tc>
        <w:tc>
          <w:tcPr>
            <w:tcW w:w="1262" w:type="dxa"/>
            <w:tcBorders>
              <w:top w:val="single" w:color="auto" w:sz="8" w:space="0"/>
            </w:tcBorders>
          </w:tcPr>
          <w:p>
            <w:pPr>
              <w:rPr>
                <w:szCs w:val="21"/>
              </w:rPr>
            </w:pPr>
            <w:r>
              <w:rPr>
                <w:szCs w:val="21"/>
              </w:rPr>
              <w:t>N3</w:t>
            </w:r>
          </w:p>
        </w:tc>
        <w:tc>
          <w:tcPr>
            <w:tcW w:w="1262" w:type="dxa"/>
            <w:tcBorders>
              <w:top w:val="single" w:color="auto" w:sz="8" w:space="0"/>
            </w:tcBorders>
          </w:tcPr>
          <w:p>
            <w:pPr>
              <w:rPr>
                <w:szCs w:val="21"/>
              </w:rPr>
            </w:pPr>
            <w:r>
              <w:rPr>
                <w:szCs w:val="21"/>
              </w:rPr>
              <w:t>N4</w:t>
            </w:r>
          </w:p>
        </w:tc>
        <w:tc>
          <w:tcPr>
            <w:tcW w:w="1262" w:type="dxa"/>
            <w:tcBorders>
              <w:top w:val="single" w:color="auto" w:sz="8" w:space="0"/>
            </w:tcBorders>
          </w:tcPr>
          <w:p>
            <w:pPr>
              <w:rPr>
                <w:szCs w:val="21"/>
              </w:rPr>
            </w:pPr>
            <w:r>
              <w:rPr>
                <w:szCs w:val="21"/>
              </w:rPr>
              <w:t>N5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28" w:type="dxa"/>
          </w:tcPr>
          <w:p>
            <w:pPr>
              <w:rPr>
                <w:szCs w:val="21"/>
              </w:rPr>
            </w:pPr>
            <w:r>
              <w:rPr>
                <w:szCs w:val="21"/>
              </w:rPr>
              <w:t>1</w:t>
            </w:r>
          </w:p>
        </w:tc>
        <w:tc>
          <w:tcPr>
            <w:tcW w:w="1470" w:type="dxa"/>
            <w:vAlign w:val="center"/>
          </w:tcPr>
          <w:p>
            <w:pPr>
              <w:rPr>
                <w:szCs w:val="21"/>
              </w:rPr>
            </w:pPr>
            <w:r>
              <w:rPr>
                <w:szCs w:val="21"/>
              </w:rPr>
              <w:t>磷（P）</w:t>
            </w:r>
          </w:p>
        </w:tc>
        <w:tc>
          <w:tcPr>
            <w:tcW w:w="1262" w:type="dxa"/>
          </w:tcPr>
          <w:p>
            <w:pPr>
              <w:rPr>
                <w:szCs w:val="21"/>
              </w:rPr>
            </w:pPr>
            <w:r>
              <w:rPr>
                <w:szCs w:val="21"/>
              </w:rPr>
              <w:t>0</w:t>
            </w:r>
          </w:p>
        </w:tc>
        <w:tc>
          <w:tcPr>
            <w:tcW w:w="1262" w:type="dxa"/>
          </w:tcPr>
          <w:p>
            <w:pPr>
              <w:rPr>
                <w:szCs w:val="21"/>
              </w:rPr>
            </w:pPr>
            <w:r>
              <w:rPr>
                <w:szCs w:val="21"/>
              </w:rPr>
              <w:t>40</w:t>
            </w:r>
          </w:p>
        </w:tc>
        <w:tc>
          <w:tcPr>
            <w:tcW w:w="1262" w:type="dxa"/>
          </w:tcPr>
          <w:p>
            <w:pPr>
              <w:rPr>
                <w:szCs w:val="21"/>
              </w:rPr>
            </w:pPr>
            <w:r>
              <w:rPr>
                <w:szCs w:val="21"/>
              </w:rPr>
              <w:t>80</w:t>
            </w:r>
          </w:p>
        </w:tc>
        <w:tc>
          <w:tcPr>
            <w:tcW w:w="1262" w:type="dxa"/>
          </w:tcPr>
          <w:p>
            <w:pPr>
              <w:rPr>
                <w:szCs w:val="21"/>
              </w:rPr>
            </w:pPr>
            <w:r>
              <w:rPr>
                <w:szCs w:val="21"/>
              </w:rPr>
              <w:t>120</w:t>
            </w:r>
          </w:p>
        </w:tc>
        <w:tc>
          <w:tcPr>
            <w:tcW w:w="1262" w:type="dxa"/>
          </w:tcPr>
          <w:p>
            <w:pPr>
              <w:rPr>
                <w:szCs w:val="21"/>
              </w:rPr>
            </w:pPr>
            <w:r>
              <w:rPr>
                <w:szCs w:val="21"/>
              </w:rPr>
              <w:t>160</w:t>
            </w:r>
          </w:p>
        </w:tc>
        <w:tc>
          <w:tcPr>
            <w:tcW w:w="1262" w:type="dxa"/>
          </w:tcPr>
          <w:p>
            <w:pPr>
              <w:rPr>
                <w:szCs w:val="21"/>
              </w:rPr>
            </w:pPr>
            <w:r>
              <w:rPr>
                <w:szCs w:val="21"/>
              </w:rPr>
              <w:t>200</w:t>
            </w:r>
          </w:p>
        </w:tc>
      </w:tr>
    </w:tbl>
    <w:p>
      <w:pPr>
        <w:rPr>
          <w:szCs w:val="21"/>
        </w:rPr>
      </w:pPr>
    </w:p>
    <w:p>
      <w:pPr>
        <w:pStyle w:val="52"/>
        <w:ind w:left="420" w:firstLine="0"/>
        <w:rPr>
          <w:rFonts w:ascii="Times New Roman"/>
          <w:szCs w:val="21"/>
        </w:rPr>
      </w:pPr>
      <w:r>
        <w:rPr>
          <w:rFonts w:ascii="Times New Roman"/>
          <w:szCs w:val="21"/>
        </w:rPr>
        <w:t>A.2 内标溶液使用液浓度</w:t>
      </w:r>
    </w:p>
    <w:p>
      <w:pPr>
        <w:autoSpaceDE w:val="0"/>
        <w:autoSpaceDN w:val="0"/>
        <w:adjustRightInd w:val="0"/>
        <w:ind w:firstLine="420" w:firstLineChars="200"/>
        <w:rPr>
          <w:szCs w:val="21"/>
        </w:rPr>
      </w:pPr>
      <w:r>
        <w:rPr>
          <w:szCs w:val="21"/>
        </w:rPr>
        <w:t>内标溶液使用液由仪器在线加入。</w:t>
      </w:r>
    </w:p>
    <w:p>
      <w:pPr>
        <w:autoSpaceDE w:val="0"/>
        <w:autoSpaceDN w:val="0"/>
        <w:adjustRightInd w:val="0"/>
        <w:ind w:firstLine="420" w:firstLineChars="200"/>
        <w:rPr>
          <w:szCs w:val="21"/>
        </w:rPr>
      </w:pPr>
      <w:r>
        <w:rPr>
          <w:szCs w:val="21"/>
        </w:rPr>
        <w:t>a.内标元素的选择应以内标元素的原子量与检测目标元素的原子量大致相当为合适。</w:t>
      </w:r>
    </w:p>
    <w:p>
      <w:pPr>
        <w:autoSpaceDE w:val="0"/>
        <w:autoSpaceDN w:val="0"/>
        <w:adjustRightInd w:val="0"/>
        <w:ind w:firstLine="420" w:firstLineChars="200"/>
        <w:rPr>
          <w:szCs w:val="21"/>
        </w:rPr>
      </w:pPr>
      <w:r>
        <w:rPr>
          <w:szCs w:val="21"/>
        </w:rPr>
        <w:t>b.内标元素一般选择稳定的金属元素。</w:t>
      </w:r>
    </w:p>
    <w:p>
      <w:pPr>
        <w:ind w:firstLine="420" w:firstLineChars="200"/>
        <w:rPr>
          <w:szCs w:val="21"/>
        </w:rPr>
      </w:pPr>
      <w:r>
        <w:rPr>
          <w:szCs w:val="21"/>
        </w:rPr>
        <w:t>c.由于不同仪器采用不同内径蠕动泵管在线加入内标，导致内标元素进入检测试剂中的浓度不同，故配制内标使用液浓度时，被检测试</w:t>
      </w:r>
      <w:r>
        <w:rPr>
          <w:rFonts w:hint="eastAsia"/>
          <w:szCs w:val="21"/>
        </w:rPr>
        <w:t>样</w:t>
      </w:r>
      <w:r>
        <w:rPr>
          <w:szCs w:val="21"/>
        </w:rPr>
        <w:t>中内标元素的浓度与检测目标元素浓度</w:t>
      </w:r>
      <w:r>
        <w:rPr>
          <w:rFonts w:hint="eastAsia"/>
          <w:szCs w:val="21"/>
        </w:rPr>
        <w:t>应</w:t>
      </w:r>
      <w:r>
        <w:rPr>
          <w:szCs w:val="21"/>
        </w:rPr>
        <w:t>大致相当。</w:t>
      </w:r>
    </w:p>
    <w:p>
      <w:pPr>
        <w:pStyle w:val="27"/>
        <w:ind w:firstLine="3150" w:firstLineChars="1500"/>
        <w:rPr>
          <w:rFonts w:ascii="Times New Roman"/>
          <w:szCs w:val="21"/>
        </w:rPr>
      </w:pPr>
    </w:p>
    <w:p>
      <w:pPr>
        <w:pStyle w:val="53"/>
        <w:spacing w:before="156" w:after="156"/>
        <w:ind w:left="0" w:firstLine="0"/>
        <w:rPr>
          <w:rFonts w:ascii="Times New Roman"/>
        </w:rPr>
      </w:pPr>
      <w:r>
        <w:rPr>
          <w:rFonts w:hint="eastAsia" w:ascii="Times New Roman" w:eastAsia="宋体"/>
        </w:rPr>
        <w:t>表</w:t>
      </w:r>
      <w:r>
        <w:rPr>
          <w:rFonts w:ascii="Times New Roman" w:eastAsia="宋体"/>
        </w:rPr>
        <w:t xml:space="preserve">A.2 </w:t>
      </w:r>
      <w:r>
        <w:rPr>
          <w:rFonts w:hint="eastAsia" w:ascii="Times New Roman" w:eastAsia="宋体"/>
        </w:rPr>
        <w:t>内标钪（</w:t>
      </w:r>
      <w:r>
        <w:rPr>
          <w:rFonts w:ascii="Times New Roman" w:eastAsia="宋体"/>
        </w:rPr>
        <w:t>Sc</w:t>
      </w:r>
      <w:r>
        <w:rPr>
          <w:rFonts w:hint="eastAsia" w:ascii="Times New Roman" w:eastAsia="宋体"/>
        </w:rPr>
        <w:t>）溶液的推荐浓度</w:t>
      </w:r>
    </w:p>
    <w:tbl>
      <w:tblPr>
        <w:tblStyle w:val="15"/>
        <w:tblW w:w="9591" w:type="dxa"/>
        <w:tblInd w:w="-3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69"/>
        <w:gridCol w:w="5511"/>
        <w:gridCol w:w="19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7" w:type="dxa"/>
          </w:tcPr>
          <w:p>
            <w:pPr>
              <w:autoSpaceDE w:val="0"/>
              <w:autoSpaceDN w:val="0"/>
              <w:adjustRightInd w:val="0"/>
              <w:rPr>
                <w:szCs w:val="21"/>
              </w:rPr>
            </w:pPr>
            <w:r>
              <w:rPr>
                <w:szCs w:val="21"/>
              </w:rPr>
              <w:t>序号</w:t>
            </w:r>
          </w:p>
        </w:tc>
        <w:tc>
          <w:tcPr>
            <w:tcW w:w="1469" w:type="dxa"/>
          </w:tcPr>
          <w:p>
            <w:pPr>
              <w:rPr>
                <w:szCs w:val="21"/>
              </w:rPr>
            </w:pPr>
            <w:r>
              <w:rPr>
                <w:szCs w:val="21"/>
              </w:rPr>
              <w:t>内标元素</w:t>
            </w:r>
          </w:p>
        </w:tc>
        <w:tc>
          <w:tcPr>
            <w:tcW w:w="5511" w:type="dxa"/>
          </w:tcPr>
          <w:p>
            <w:pPr>
              <w:rPr>
                <w:szCs w:val="21"/>
              </w:rPr>
            </w:pPr>
            <w:r>
              <w:rPr>
                <w:szCs w:val="21"/>
              </w:rPr>
              <w:t>适合检测元素</w:t>
            </w:r>
          </w:p>
        </w:tc>
        <w:tc>
          <w:tcPr>
            <w:tcW w:w="1944" w:type="dxa"/>
          </w:tcPr>
          <w:p>
            <w:pPr>
              <w:rPr>
                <w:szCs w:val="21"/>
              </w:rPr>
            </w:pPr>
            <w:r>
              <w:rPr>
                <w:szCs w:val="21"/>
              </w:rPr>
              <w:t>内标元素在检测试剂中的推荐浓度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7" w:type="dxa"/>
          </w:tcPr>
          <w:p>
            <w:pPr>
              <w:autoSpaceDE w:val="0"/>
              <w:autoSpaceDN w:val="0"/>
              <w:adjustRightInd w:val="0"/>
              <w:rPr>
                <w:szCs w:val="21"/>
              </w:rPr>
            </w:pPr>
            <w:r>
              <w:rPr>
                <w:szCs w:val="21"/>
              </w:rPr>
              <w:t>1</w:t>
            </w:r>
          </w:p>
        </w:tc>
        <w:tc>
          <w:tcPr>
            <w:tcW w:w="1469" w:type="dxa"/>
            <w:vAlign w:val="center"/>
          </w:tcPr>
          <w:p>
            <w:pPr>
              <w:rPr>
                <w:szCs w:val="21"/>
              </w:rPr>
            </w:pPr>
            <w:r>
              <w:rPr>
                <w:szCs w:val="21"/>
              </w:rPr>
              <w:t>钪（Sc）</w:t>
            </w:r>
          </w:p>
        </w:tc>
        <w:tc>
          <w:tcPr>
            <w:tcW w:w="5511" w:type="dxa"/>
          </w:tcPr>
          <w:p>
            <w:pPr>
              <w:rPr>
                <w:szCs w:val="21"/>
              </w:rPr>
            </w:pPr>
            <w:r>
              <w:rPr>
                <w:szCs w:val="21"/>
              </w:rPr>
              <w:t>磷（P）</w:t>
            </w:r>
          </w:p>
        </w:tc>
        <w:tc>
          <w:tcPr>
            <w:tcW w:w="1944" w:type="dxa"/>
          </w:tcPr>
          <w:p>
            <w:pPr>
              <w:pStyle w:val="34"/>
              <w:numPr>
                <w:ilvl w:val="0"/>
                <w:numId w:val="3"/>
              </w:numPr>
              <w:ind w:firstLineChars="0"/>
              <w:rPr>
                <w:szCs w:val="21"/>
              </w:rPr>
            </w:pPr>
            <w:r>
              <w:rPr>
                <w:szCs w:val="21"/>
              </w:rPr>
              <w:t>μg/L</w:t>
            </w:r>
          </w:p>
        </w:tc>
      </w:tr>
    </w:tbl>
    <w:p>
      <w:pPr>
        <w:pStyle w:val="27"/>
        <w:ind w:firstLine="420"/>
        <w:rPr>
          <w:rFonts w:ascii="Times New Roman"/>
          <w:szCs w:val="21"/>
        </w:rPr>
      </w:pPr>
    </w:p>
    <w:p>
      <w:pPr>
        <w:pStyle w:val="35"/>
        <w:numPr>
          <w:ilvl w:val="0"/>
          <w:numId w:val="2"/>
        </w:numPr>
        <w:tabs>
          <w:tab w:val="left" w:pos="360"/>
        </w:tabs>
        <w:spacing w:after="0"/>
        <w:rPr>
          <w:rFonts w:ascii="Times New Roman" w:eastAsia="宋体"/>
          <w:kern w:val="2"/>
          <w:szCs w:val="21"/>
        </w:rPr>
      </w:pPr>
      <w:bookmarkStart w:id="28" w:name="_Toc487536945"/>
      <w:r>
        <w:rPr>
          <w:rFonts w:ascii="Times New Roman" w:eastAsia="宋体"/>
          <w:szCs w:val="21"/>
        </w:rPr>
        <w:br w:type="textWrapping"/>
      </w:r>
      <w:r>
        <w:rPr>
          <w:rFonts w:ascii="Times New Roman" w:eastAsia="宋体"/>
          <w:szCs w:val="21"/>
        </w:rPr>
        <w:t>（资料性）</w:t>
      </w:r>
    </w:p>
    <w:p>
      <w:pPr>
        <w:jc w:val="center"/>
      </w:pPr>
      <w:r>
        <w:rPr>
          <w:rFonts w:hint="eastAsia"/>
        </w:rPr>
        <w:t>样品测定参考条件</w:t>
      </w:r>
      <w:bookmarkEnd w:id="28"/>
    </w:p>
    <w:p>
      <w:pPr>
        <w:pStyle w:val="34"/>
        <w:numPr>
          <w:ilvl w:val="1"/>
          <w:numId w:val="2"/>
        </w:numPr>
        <w:autoSpaceDE w:val="0"/>
        <w:autoSpaceDN w:val="0"/>
        <w:adjustRightInd w:val="0"/>
        <w:spacing w:before="240"/>
        <w:ind w:firstLineChars="0"/>
        <w:rPr>
          <w:szCs w:val="21"/>
        </w:rPr>
      </w:pPr>
      <w:r>
        <w:rPr>
          <w:szCs w:val="21"/>
        </w:rPr>
        <w:t>消解仪操作参考条件</w:t>
      </w:r>
    </w:p>
    <w:p>
      <w:pPr>
        <w:pStyle w:val="34"/>
        <w:autoSpaceDE w:val="0"/>
        <w:autoSpaceDN w:val="0"/>
        <w:adjustRightInd w:val="0"/>
        <w:ind w:firstLine="105" w:firstLineChars="50"/>
        <w:rPr>
          <w:szCs w:val="21"/>
        </w:rPr>
      </w:pPr>
      <w:r>
        <w:rPr>
          <w:szCs w:val="21"/>
        </w:rPr>
        <w:t>消解仪操作参考条件见表B.1</w:t>
      </w:r>
    </w:p>
    <w:p>
      <w:pPr>
        <w:pStyle w:val="34"/>
        <w:autoSpaceDE w:val="0"/>
        <w:autoSpaceDN w:val="0"/>
        <w:adjustRightInd w:val="0"/>
        <w:ind w:firstLine="0" w:firstLineChars="0"/>
        <w:rPr>
          <w:szCs w:val="21"/>
        </w:rPr>
      </w:pPr>
    </w:p>
    <w:p>
      <w:pPr>
        <w:pStyle w:val="53"/>
        <w:spacing w:before="156" w:after="156"/>
        <w:ind w:left="0" w:firstLine="0"/>
        <w:rPr>
          <w:rFonts w:ascii="Times New Roman" w:eastAsia="宋体"/>
        </w:rPr>
      </w:pPr>
      <w:r>
        <w:rPr>
          <w:rFonts w:hint="eastAsia" w:ascii="Times New Roman" w:eastAsia="宋体"/>
        </w:rPr>
        <w:t>表</w:t>
      </w:r>
      <w:r>
        <w:rPr>
          <w:rFonts w:ascii="Times New Roman" w:eastAsia="宋体"/>
        </w:rPr>
        <w:t xml:space="preserve">B.1 </w:t>
      </w:r>
      <w:r>
        <w:rPr>
          <w:rFonts w:hint="eastAsia" w:ascii="Times New Roman" w:eastAsia="宋体"/>
        </w:rPr>
        <w:t>消解仪参考条件</w:t>
      </w:r>
    </w:p>
    <w:tbl>
      <w:tblPr>
        <w:tblStyle w:val="15"/>
        <w:tblW w:w="9511" w:type="dxa"/>
        <w:tblInd w:w="11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842"/>
        <w:gridCol w:w="2410"/>
        <w:gridCol w:w="1985"/>
        <w:gridCol w:w="17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8" w:space="0"/>
              <w:bottom w:val="single" w:color="auto" w:sz="8" w:space="0"/>
            </w:tcBorders>
          </w:tcPr>
          <w:p>
            <w:pPr>
              <w:rPr>
                <w:szCs w:val="21"/>
              </w:rPr>
            </w:pPr>
            <w:r>
              <w:rPr>
                <w:szCs w:val="21"/>
              </w:rPr>
              <w:t>消解方式</w:t>
            </w:r>
          </w:p>
        </w:tc>
        <w:tc>
          <w:tcPr>
            <w:tcW w:w="1842" w:type="dxa"/>
            <w:tcBorders>
              <w:top w:val="single" w:color="auto" w:sz="8" w:space="0"/>
              <w:bottom w:val="single" w:color="auto" w:sz="8" w:space="0"/>
            </w:tcBorders>
          </w:tcPr>
          <w:p>
            <w:pPr>
              <w:rPr>
                <w:szCs w:val="21"/>
              </w:rPr>
            </w:pPr>
            <w:r>
              <w:rPr>
                <w:szCs w:val="21"/>
              </w:rPr>
              <w:t>步骤</w:t>
            </w:r>
          </w:p>
        </w:tc>
        <w:tc>
          <w:tcPr>
            <w:tcW w:w="2410" w:type="dxa"/>
            <w:tcBorders>
              <w:top w:val="single" w:color="auto" w:sz="8" w:space="0"/>
              <w:bottom w:val="single" w:color="auto" w:sz="8" w:space="0"/>
            </w:tcBorders>
          </w:tcPr>
          <w:p>
            <w:pPr>
              <w:rPr>
                <w:szCs w:val="21"/>
              </w:rPr>
            </w:pPr>
            <w:r>
              <w:rPr>
                <w:szCs w:val="21"/>
              </w:rPr>
              <w:t>控制温度（</w:t>
            </w:r>
            <w:r>
              <w:rPr>
                <w:rFonts w:hint="eastAsia" w:ascii="宋体" w:hAnsi="宋体" w:cs="宋体"/>
                <w:szCs w:val="21"/>
              </w:rPr>
              <w:t>℃</w:t>
            </w:r>
            <w:r>
              <w:rPr>
                <w:szCs w:val="21"/>
              </w:rPr>
              <w:t>）</w:t>
            </w:r>
          </w:p>
        </w:tc>
        <w:tc>
          <w:tcPr>
            <w:tcW w:w="1985" w:type="dxa"/>
            <w:tcBorders>
              <w:top w:val="single" w:color="auto" w:sz="8" w:space="0"/>
              <w:bottom w:val="single" w:color="auto" w:sz="8" w:space="0"/>
            </w:tcBorders>
          </w:tcPr>
          <w:p>
            <w:pPr>
              <w:rPr>
                <w:szCs w:val="21"/>
              </w:rPr>
            </w:pPr>
            <w:r>
              <w:rPr>
                <w:szCs w:val="21"/>
              </w:rPr>
              <w:t>升温时间（min）</w:t>
            </w:r>
          </w:p>
        </w:tc>
        <w:tc>
          <w:tcPr>
            <w:tcW w:w="1724" w:type="dxa"/>
            <w:tcBorders>
              <w:top w:val="single" w:color="auto" w:sz="8" w:space="0"/>
              <w:bottom w:val="single" w:color="auto" w:sz="8" w:space="0"/>
            </w:tcBorders>
          </w:tcPr>
          <w:p>
            <w:pPr>
              <w:rPr>
                <w:szCs w:val="21"/>
              </w:rPr>
            </w:pPr>
            <w:r>
              <w:rPr>
                <w:szCs w:val="21"/>
              </w:rPr>
              <w:t>恒温时间（min）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8" w:space="0"/>
            </w:tcBorders>
          </w:tcPr>
          <w:p>
            <w:pPr>
              <w:rPr>
                <w:szCs w:val="21"/>
              </w:rPr>
            </w:pPr>
            <w:r>
              <w:rPr>
                <w:szCs w:val="21"/>
              </w:rPr>
              <w:t>微波消解</w:t>
            </w:r>
          </w:p>
        </w:tc>
        <w:tc>
          <w:tcPr>
            <w:tcW w:w="1842" w:type="dxa"/>
            <w:tcBorders>
              <w:top w:val="single" w:color="auto" w:sz="8" w:space="0"/>
            </w:tcBorders>
          </w:tcPr>
          <w:p>
            <w:pPr>
              <w:rPr>
                <w:szCs w:val="21"/>
              </w:rPr>
            </w:pPr>
            <w:r>
              <w:rPr>
                <w:szCs w:val="21"/>
              </w:rPr>
              <w:t>1</w:t>
            </w:r>
          </w:p>
        </w:tc>
        <w:tc>
          <w:tcPr>
            <w:tcW w:w="2410" w:type="dxa"/>
            <w:tcBorders>
              <w:top w:val="single" w:color="auto" w:sz="8" w:space="0"/>
            </w:tcBorders>
          </w:tcPr>
          <w:p>
            <w:pPr>
              <w:rPr>
                <w:szCs w:val="21"/>
              </w:rPr>
            </w:pPr>
            <w:r>
              <w:rPr>
                <w:szCs w:val="21"/>
              </w:rPr>
              <w:t>120</w:t>
            </w:r>
          </w:p>
        </w:tc>
        <w:tc>
          <w:tcPr>
            <w:tcW w:w="1985" w:type="dxa"/>
            <w:tcBorders>
              <w:top w:val="single" w:color="auto" w:sz="8" w:space="0"/>
            </w:tcBorders>
          </w:tcPr>
          <w:p>
            <w:pPr>
              <w:rPr>
                <w:szCs w:val="21"/>
              </w:rPr>
            </w:pPr>
            <w:r>
              <w:rPr>
                <w:szCs w:val="21"/>
              </w:rPr>
              <w:t>5</w:t>
            </w:r>
          </w:p>
        </w:tc>
        <w:tc>
          <w:tcPr>
            <w:tcW w:w="1724" w:type="dxa"/>
            <w:tcBorders>
              <w:top w:val="single" w:color="auto" w:sz="8" w:space="0"/>
            </w:tcBorders>
          </w:tcPr>
          <w:p>
            <w:pP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szCs w:val="21"/>
              </w:rPr>
            </w:pPr>
          </w:p>
        </w:tc>
        <w:tc>
          <w:tcPr>
            <w:tcW w:w="1842" w:type="dxa"/>
          </w:tcPr>
          <w:p>
            <w:pPr>
              <w:rPr>
                <w:szCs w:val="21"/>
              </w:rPr>
            </w:pPr>
            <w:r>
              <w:rPr>
                <w:szCs w:val="21"/>
              </w:rPr>
              <w:t>2</w:t>
            </w:r>
          </w:p>
        </w:tc>
        <w:tc>
          <w:tcPr>
            <w:tcW w:w="2410" w:type="dxa"/>
          </w:tcPr>
          <w:p>
            <w:pPr>
              <w:rPr>
                <w:szCs w:val="21"/>
              </w:rPr>
            </w:pPr>
            <w:r>
              <w:rPr>
                <w:szCs w:val="21"/>
              </w:rPr>
              <w:t>150</w:t>
            </w:r>
          </w:p>
        </w:tc>
        <w:tc>
          <w:tcPr>
            <w:tcW w:w="1985" w:type="dxa"/>
          </w:tcPr>
          <w:p>
            <w:pPr>
              <w:rPr>
                <w:szCs w:val="21"/>
              </w:rPr>
            </w:pPr>
            <w:r>
              <w:rPr>
                <w:szCs w:val="21"/>
              </w:rPr>
              <w:t>5</w:t>
            </w:r>
          </w:p>
        </w:tc>
        <w:tc>
          <w:tcPr>
            <w:tcW w:w="1724" w:type="dxa"/>
          </w:tcPr>
          <w:p>
            <w:pPr>
              <w:rPr>
                <w:szCs w:val="21"/>
              </w:rPr>
            </w:pPr>
            <w:r>
              <w:rPr>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szCs w:val="21"/>
              </w:rPr>
            </w:pPr>
          </w:p>
        </w:tc>
        <w:tc>
          <w:tcPr>
            <w:tcW w:w="1842" w:type="dxa"/>
          </w:tcPr>
          <w:p>
            <w:pPr>
              <w:rPr>
                <w:szCs w:val="21"/>
              </w:rPr>
            </w:pPr>
            <w:r>
              <w:rPr>
                <w:szCs w:val="21"/>
              </w:rPr>
              <w:t>3</w:t>
            </w:r>
          </w:p>
        </w:tc>
        <w:tc>
          <w:tcPr>
            <w:tcW w:w="2410" w:type="dxa"/>
          </w:tcPr>
          <w:p>
            <w:pPr>
              <w:rPr>
                <w:szCs w:val="21"/>
              </w:rPr>
            </w:pPr>
            <w:r>
              <w:rPr>
                <w:szCs w:val="21"/>
              </w:rPr>
              <w:t>200</w:t>
            </w:r>
          </w:p>
        </w:tc>
        <w:tc>
          <w:tcPr>
            <w:tcW w:w="1985" w:type="dxa"/>
          </w:tcPr>
          <w:p>
            <w:pPr>
              <w:rPr>
                <w:szCs w:val="21"/>
              </w:rPr>
            </w:pPr>
            <w:r>
              <w:rPr>
                <w:szCs w:val="21"/>
              </w:rPr>
              <w:t>5</w:t>
            </w:r>
          </w:p>
        </w:tc>
        <w:tc>
          <w:tcPr>
            <w:tcW w:w="1724" w:type="dxa"/>
          </w:tcPr>
          <w:p>
            <w:pPr>
              <w:rPr>
                <w:szCs w:val="21"/>
              </w:rPr>
            </w:pPr>
            <w:r>
              <w:rPr>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restart"/>
          </w:tcPr>
          <w:p>
            <w:pPr>
              <w:rPr>
                <w:szCs w:val="21"/>
              </w:rPr>
            </w:pPr>
            <w:r>
              <w:rPr>
                <w:szCs w:val="21"/>
              </w:rPr>
              <w:t>压力罐消解</w:t>
            </w:r>
          </w:p>
        </w:tc>
        <w:tc>
          <w:tcPr>
            <w:tcW w:w="1842" w:type="dxa"/>
          </w:tcPr>
          <w:p>
            <w:pPr>
              <w:rPr>
                <w:szCs w:val="21"/>
              </w:rPr>
            </w:pPr>
            <w:r>
              <w:rPr>
                <w:szCs w:val="21"/>
              </w:rPr>
              <w:t>1</w:t>
            </w:r>
          </w:p>
        </w:tc>
        <w:tc>
          <w:tcPr>
            <w:tcW w:w="2410" w:type="dxa"/>
          </w:tcPr>
          <w:p>
            <w:pPr>
              <w:rPr>
                <w:szCs w:val="21"/>
              </w:rPr>
            </w:pPr>
            <w:r>
              <w:rPr>
                <w:szCs w:val="21"/>
              </w:rPr>
              <w:t>80</w:t>
            </w:r>
          </w:p>
        </w:tc>
        <w:tc>
          <w:tcPr>
            <w:tcW w:w="1985" w:type="dxa"/>
          </w:tcPr>
          <w:p>
            <w:pPr>
              <w:rPr>
                <w:szCs w:val="21"/>
              </w:rPr>
            </w:pPr>
            <w:r>
              <w:rPr>
                <w:szCs w:val="21"/>
              </w:rPr>
              <w:t>-----</w:t>
            </w:r>
          </w:p>
        </w:tc>
        <w:tc>
          <w:tcPr>
            <w:tcW w:w="1724" w:type="dxa"/>
          </w:tcPr>
          <w:p>
            <w:pPr>
              <w:rPr>
                <w:szCs w:val="21"/>
              </w:rPr>
            </w:pPr>
            <w:r>
              <w:rPr>
                <w:szCs w:val="21"/>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Pr>
          <w:p>
            <w:pPr>
              <w:rPr>
                <w:szCs w:val="21"/>
              </w:rPr>
            </w:pPr>
          </w:p>
        </w:tc>
        <w:tc>
          <w:tcPr>
            <w:tcW w:w="1842" w:type="dxa"/>
          </w:tcPr>
          <w:p>
            <w:pPr>
              <w:rPr>
                <w:szCs w:val="21"/>
              </w:rPr>
            </w:pPr>
            <w:r>
              <w:rPr>
                <w:szCs w:val="21"/>
              </w:rPr>
              <w:t>2</w:t>
            </w:r>
          </w:p>
        </w:tc>
        <w:tc>
          <w:tcPr>
            <w:tcW w:w="2410" w:type="dxa"/>
          </w:tcPr>
          <w:p>
            <w:pPr>
              <w:rPr>
                <w:szCs w:val="21"/>
              </w:rPr>
            </w:pPr>
            <w:r>
              <w:rPr>
                <w:szCs w:val="21"/>
              </w:rPr>
              <w:t>120</w:t>
            </w:r>
          </w:p>
        </w:tc>
        <w:tc>
          <w:tcPr>
            <w:tcW w:w="1985" w:type="dxa"/>
          </w:tcPr>
          <w:p>
            <w:pPr>
              <w:rPr>
                <w:szCs w:val="21"/>
              </w:rPr>
            </w:pPr>
            <w:r>
              <w:rPr>
                <w:szCs w:val="21"/>
              </w:rPr>
              <w:t>-----</w:t>
            </w:r>
          </w:p>
        </w:tc>
        <w:tc>
          <w:tcPr>
            <w:tcW w:w="1724" w:type="dxa"/>
          </w:tcPr>
          <w:p>
            <w:pPr>
              <w:rPr>
                <w:szCs w:val="21"/>
              </w:rPr>
            </w:pPr>
            <w:r>
              <w:rPr>
                <w:szCs w:val="21"/>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bottom w:val="single" w:color="auto" w:sz="4" w:space="0"/>
            </w:tcBorders>
          </w:tcPr>
          <w:p>
            <w:pPr>
              <w:rPr>
                <w:szCs w:val="21"/>
              </w:rPr>
            </w:pPr>
          </w:p>
        </w:tc>
        <w:tc>
          <w:tcPr>
            <w:tcW w:w="1842" w:type="dxa"/>
            <w:tcBorders>
              <w:bottom w:val="single" w:color="auto" w:sz="4" w:space="0"/>
            </w:tcBorders>
          </w:tcPr>
          <w:p>
            <w:pPr>
              <w:rPr>
                <w:szCs w:val="21"/>
              </w:rPr>
            </w:pPr>
            <w:r>
              <w:rPr>
                <w:szCs w:val="21"/>
              </w:rPr>
              <w:t>3</w:t>
            </w:r>
          </w:p>
        </w:tc>
        <w:tc>
          <w:tcPr>
            <w:tcW w:w="2410" w:type="dxa"/>
            <w:tcBorders>
              <w:bottom w:val="single" w:color="auto" w:sz="4" w:space="0"/>
            </w:tcBorders>
          </w:tcPr>
          <w:p>
            <w:pPr>
              <w:rPr>
                <w:szCs w:val="21"/>
              </w:rPr>
            </w:pPr>
            <w:r>
              <w:rPr>
                <w:szCs w:val="21"/>
              </w:rPr>
              <w:t>180</w:t>
            </w:r>
          </w:p>
        </w:tc>
        <w:tc>
          <w:tcPr>
            <w:tcW w:w="1985" w:type="dxa"/>
            <w:tcBorders>
              <w:bottom w:val="single" w:color="auto" w:sz="4" w:space="0"/>
            </w:tcBorders>
          </w:tcPr>
          <w:p>
            <w:pPr>
              <w:rPr>
                <w:szCs w:val="21"/>
              </w:rPr>
            </w:pPr>
            <w:r>
              <w:rPr>
                <w:szCs w:val="21"/>
              </w:rPr>
              <w:t>-----</w:t>
            </w:r>
          </w:p>
        </w:tc>
        <w:tc>
          <w:tcPr>
            <w:tcW w:w="1724" w:type="dxa"/>
            <w:tcBorders>
              <w:bottom w:val="single" w:color="auto" w:sz="4" w:space="0"/>
            </w:tcBorders>
          </w:tcPr>
          <w:p>
            <w:pPr>
              <w:rPr>
                <w:szCs w:val="21"/>
              </w:rPr>
            </w:pPr>
            <w:r>
              <w:rPr>
                <w:szCs w:val="21"/>
              </w:rPr>
              <w:t>120</w:t>
            </w:r>
          </w:p>
        </w:tc>
      </w:tr>
    </w:tbl>
    <w:p>
      <w:pPr>
        <w:rPr>
          <w:szCs w:val="21"/>
        </w:rPr>
      </w:pPr>
    </w:p>
    <w:p>
      <w:pPr>
        <w:pStyle w:val="34"/>
        <w:widowControl/>
        <w:numPr>
          <w:ilvl w:val="1"/>
          <w:numId w:val="2"/>
        </w:numPr>
        <w:autoSpaceDE w:val="0"/>
        <w:autoSpaceDN w:val="0"/>
        <w:adjustRightInd w:val="0"/>
        <w:ind w:firstLineChars="0"/>
        <w:jc w:val="left"/>
        <w:rPr>
          <w:szCs w:val="21"/>
        </w:rPr>
      </w:pPr>
      <w:r>
        <w:rPr>
          <w:szCs w:val="21"/>
        </w:rPr>
        <w:t>电感耦合等离子质谱仪（ICP-MS）操作参考条件</w:t>
      </w:r>
    </w:p>
    <w:p>
      <w:pPr>
        <w:pStyle w:val="34"/>
        <w:autoSpaceDE w:val="0"/>
        <w:autoSpaceDN w:val="0"/>
        <w:adjustRightInd w:val="0"/>
        <w:ind w:firstLine="105" w:firstLineChars="50"/>
        <w:rPr>
          <w:szCs w:val="21"/>
        </w:rPr>
      </w:pPr>
      <w:r>
        <w:rPr>
          <w:szCs w:val="21"/>
        </w:rPr>
        <w:t>ICP-MS操作参考条件见表B.2</w:t>
      </w:r>
    </w:p>
    <w:p>
      <w:pPr>
        <w:pStyle w:val="53"/>
        <w:spacing w:before="156" w:after="156"/>
        <w:ind w:left="0" w:firstLine="0"/>
      </w:pPr>
      <w:r>
        <w:rPr>
          <w:rFonts w:hint="eastAsia" w:ascii="Times New Roman" w:eastAsia="宋体"/>
        </w:rPr>
        <w:t>表</w:t>
      </w:r>
      <w:r>
        <w:rPr>
          <w:rFonts w:ascii="Times New Roman" w:eastAsia="宋体"/>
        </w:rPr>
        <w:t xml:space="preserve">B.2 </w:t>
      </w:r>
      <w:r>
        <w:rPr>
          <w:rFonts w:hint="eastAsia" w:ascii="Times New Roman" w:eastAsia="宋体"/>
        </w:rPr>
        <w:t>电感耦合等离子体质谱仪操作参考条件</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833"/>
        <w:gridCol w:w="4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top w:val="single" w:color="auto" w:sz="8" w:space="0"/>
              <w:bottom w:val="single" w:color="auto" w:sz="8" w:space="0"/>
            </w:tcBorders>
          </w:tcPr>
          <w:p>
            <w:pPr>
              <w:autoSpaceDE w:val="0"/>
              <w:autoSpaceDN w:val="0"/>
              <w:adjustRightInd w:val="0"/>
              <w:rPr>
                <w:b/>
                <w:szCs w:val="21"/>
              </w:rPr>
            </w:pPr>
            <w:r>
              <w:rPr>
                <w:b/>
                <w:szCs w:val="21"/>
              </w:rPr>
              <w:t>仪器参数</w:t>
            </w:r>
          </w:p>
        </w:tc>
        <w:tc>
          <w:tcPr>
            <w:tcW w:w="4737" w:type="dxa"/>
            <w:tcBorders>
              <w:top w:val="single" w:color="auto" w:sz="8" w:space="0"/>
              <w:bottom w:val="single" w:color="auto" w:sz="8" w:space="0"/>
            </w:tcBorders>
          </w:tcPr>
          <w:p>
            <w:pPr>
              <w:autoSpaceDE w:val="0"/>
              <w:autoSpaceDN w:val="0"/>
              <w:adjustRightInd w:val="0"/>
              <w:rPr>
                <w:b/>
                <w:szCs w:val="21"/>
              </w:rPr>
            </w:pPr>
            <w:r>
              <w:rPr>
                <w:b/>
                <w:szCs w:val="21"/>
              </w:rPr>
              <w:t>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top w:val="single" w:color="auto" w:sz="8" w:space="0"/>
            </w:tcBorders>
          </w:tcPr>
          <w:p>
            <w:pPr>
              <w:autoSpaceDE w:val="0"/>
              <w:autoSpaceDN w:val="0"/>
              <w:adjustRightInd w:val="0"/>
              <w:rPr>
                <w:szCs w:val="21"/>
              </w:rPr>
            </w:pPr>
            <w:r>
              <w:rPr>
                <w:szCs w:val="21"/>
              </w:rPr>
              <w:t>射频功率 (Forward Power)</w:t>
            </w:r>
          </w:p>
        </w:tc>
        <w:tc>
          <w:tcPr>
            <w:tcW w:w="4737" w:type="dxa"/>
            <w:tcBorders>
              <w:top w:val="single" w:color="auto" w:sz="8" w:space="0"/>
            </w:tcBorders>
          </w:tcPr>
          <w:p>
            <w:pPr>
              <w:autoSpaceDE w:val="0"/>
              <w:autoSpaceDN w:val="0"/>
              <w:adjustRightInd w:val="0"/>
              <w:rPr>
                <w:szCs w:val="21"/>
              </w:rPr>
            </w:pPr>
            <w:r>
              <w:rPr>
                <w:szCs w:val="21"/>
              </w:rPr>
              <w:t>1500W</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等离子体气（Ar）流量</w:t>
            </w:r>
          </w:p>
        </w:tc>
        <w:tc>
          <w:tcPr>
            <w:tcW w:w="4737" w:type="dxa"/>
          </w:tcPr>
          <w:p>
            <w:pPr>
              <w:autoSpaceDE w:val="0"/>
              <w:autoSpaceDN w:val="0"/>
              <w:adjustRightInd w:val="0"/>
              <w:rPr>
                <w:szCs w:val="21"/>
              </w:rPr>
            </w:pPr>
            <w:r>
              <w:rPr>
                <w:szCs w:val="21"/>
              </w:rPr>
              <w:t>15L/min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hint="eastAsia" w:ascii="Times New Roman" w:hAnsi="Times New Roman" w:eastAsia="宋体" w:cs="Times New Roman"/>
                <w:color w:val="FF0000"/>
                <w:kern w:val="2"/>
                <w:sz w:val="21"/>
                <w:szCs w:val="21"/>
                <w:highlight w:val="none"/>
                <w:lang w:val="en-US" w:eastAsia="zh-CN" w:bidi="ar-SA"/>
              </w:rPr>
            </w:pPr>
            <w:r>
              <w:rPr>
                <w:rFonts w:hint="eastAsia" w:ascii="Times New Roman"/>
                <w:color w:val="FF0000"/>
                <w:sz w:val="21"/>
                <w:szCs w:val="21"/>
                <w:highlight w:val="none"/>
                <w:lang w:eastAsia="zh-CN"/>
              </w:rPr>
              <w:t>载气流量</w:t>
            </w:r>
          </w:p>
        </w:tc>
        <w:tc>
          <w:tcPr>
            <w:tcW w:w="4737" w:type="dxa"/>
            <w:vAlign w:val="top"/>
          </w:tcPr>
          <w:p>
            <w:pPr>
              <w:autoSpaceDE w:val="0"/>
              <w:autoSpaceDN w:val="0"/>
              <w:adjustRightInd w:val="0"/>
              <w:rPr>
                <w:rFonts w:ascii="Times New Roman" w:hAnsi="Times New Roman" w:eastAsia="宋体" w:cs="Times New Roman"/>
                <w:color w:val="FF0000"/>
                <w:kern w:val="2"/>
                <w:sz w:val="21"/>
                <w:szCs w:val="21"/>
                <w:highlight w:val="none"/>
                <w:lang w:val="en-US" w:eastAsia="zh-CN" w:bidi="ar-SA"/>
              </w:rPr>
            </w:pPr>
            <w:r>
              <w:rPr>
                <w:rFonts w:ascii="Times New Roman"/>
                <w:color w:val="FF0000"/>
                <w:sz w:val="21"/>
                <w:szCs w:val="21"/>
                <w:highlight w:val="none"/>
              </w:rPr>
              <w:t>0.80L/min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color w:val="FF0000"/>
                <w:kern w:val="2"/>
                <w:sz w:val="21"/>
                <w:szCs w:val="21"/>
                <w:highlight w:val="none"/>
                <w:lang w:val="en-US" w:eastAsia="zh-CN" w:bidi="ar-SA"/>
              </w:rPr>
            </w:pPr>
            <w:r>
              <w:rPr>
                <w:rFonts w:ascii="Times New Roman"/>
                <w:color w:val="FF0000"/>
                <w:sz w:val="21"/>
                <w:szCs w:val="21"/>
                <w:highlight w:val="none"/>
              </w:rPr>
              <w:t>辅助气（Auxiliary Gas）流量</w:t>
            </w:r>
          </w:p>
        </w:tc>
        <w:tc>
          <w:tcPr>
            <w:tcW w:w="4737" w:type="dxa"/>
            <w:vAlign w:val="top"/>
          </w:tcPr>
          <w:p>
            <w:pPr>
              <w:autoSpaceDE w:val="0"/>
              <w:autoSpaceDN w:val="0"/>
              <w:adjustRightInd w:val="0"/>
              <w:rPr>
                <w:rFonts w:ascii="Times New Roman" w:hAnsi="Times New Roman" w:eastAsia="宋体" w:cs="Times New Roman"/>
                <w:color w:val="FF0000"/>
                <w:kern w:val="2"/>
                <w:sz w:val="21"/>
                <w:szCs w:val="21"/>
                <w:highlight w:val="none"/>
                <w:lang w:val="en-US" w:eastAsia="zh-CN" w:bidi="ar-SA"/>
              </w:rPr>
            </w:pPr>
            <w:r>
              <w:rPr>
                <w:rFonts w:ascii="Times New Roman"/>
                <w:color w:val="FF0000"/>
                <w:sz w:val="21"/>
                <w:szCs w:val="21"/>
                <w:highlight w:val="none"/>
              </w:rPr>
              <w:t>0.</w:t>
            </w:r>
            <w:r>
              <w:rPr>
                <w:rFonts w:hint="eastAsia" w:ascii="Times New Roman"/>
                <w:color w:val="FF0000"/>
                <w:sz w:val="21"/>
                <w:szCs w:val="21"/>
                <w:highlight w:val="none"/>
                <w:lang w:val="en-US" w:eastAsia="zh-CN"/>
              </w:rPr>
              <w:t>4</w:t>
            </w:r>
            <w:r>
              <w:rPr>
                <w:rFonts w:ascii="Times New Roman"/>
                <w:color w:val="FF0000"/>
                <w:sz w:val="21"/>
                <w:szCs w:val="21"/>
                <w:highlight w:val="none"/>
              </w:rPr>
              <w:t>0L/min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color w:val="FF0000"/>
                <w:kern w:val="2"/>
                <w:sz w:val="21"/>
                <w:szCs w:val="21"/>
                <w:highlight w:val="none"/>
                <w:lang w:val="en-US" w:eastAsia="zh-CN" w:bidi="ar-SA"/>
              </w:rPr>
            </w:pPr>
            <w:r>
              <w:rPr>
                <w:rFonts w:ascii="Times New Roman"/>
                <w:color w:val="FF0000"/>
                <w:sz w:val="21"/>
                <w:szCs w:val="21"/>
                <w:highlight w:val="none"/>
              </w:rPr>
              <w:t>氦气（He）流量</w:t>
            </w:r>
          </w:p>
        </w:tc>
        <w:tc>
          <w:tcPr>
            <w:tcW w:w="4737" w:type="dxa"/>
            <w:vAlign w:val="top"/>
          </w:tcPr>
          <w:p>
            <w:pPr>
              <w:autoSpaceDE w:val="0"/>
              <w:autoSpaceDN w:val="0"/>
              <w:adjustRightInd w:val="0"/>
              <w:rPr>
                <w:rFonts w:ascii="Times New Roman" w:hAnsi="Times New Roman" w:eastAsia="宋体" w:cs="Times New Roman"/>
                <w:color w:val="FF0000"/>
                <w:kern w:val="2"/>
                <w:sz w:val="21"/>
                <w:szCs w:val="21"/>
                <w:highlight w:val="none"/>
                <w:lang w:val="en-US" w:eastAsia="zh-CN" w:bidi="ar-SA"/>
              </w:rPr>
            </w:pPr>
            <w:r>
              <w:rPr>
                <w:rFonts w:hint="eastAsia" w:ascii="Times New Roman"/>
                <w:color w:val="FF0000"/>
                <w:sz w:val="21"/>
                <w:szCs w:val="21"/>
                <w:highlight w:val="none"/>
                <w:lang w:val="en-US" w:eastAsia="zh-CN"/>
              </w:rPr>
              <w:t>4-5m</w:t>
            </w:r>
            <w:r>
              <w:rPr>
                <w:rFonts w:ascii="Times New Roman"/>
                <w:color w:val="FF0000"/>
                <w:sz w:val="21"/>
                <w:szCs w:val="21"/>
                <w:highlight w:val="none"/>
              </w:rPr>
              <w:t>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四级杆真空度（Analyzer Press）</w:t>
            </w:r>
          </w:p>
        </w:tc>
        <w:tc>
          <w:tcPr>
            <w:tcW w:w="4737" w:type="dxa"/>
          </w:tcPr>
          <w:p>
            <w:pPr>
              <w:autoSpaceDE w:val="0"/>
              <w:autoSpaceDN w:val="0"/>
              <w:adjustRightInd w:val="0"/>
              <w:rPr>
                <w:szCs w:val="21"/>
              </w:rPr>
            </w:pPr>
            <w:r>
              <w:rPr>
                <w:szCs w:val="21"/>
              </w:rPr>
              <w:t>8.94×10</w:t>
            </w:r>
            <w:r>
              <w:rPr>
                <w:szCs w:val="21"/>
                <w:vertAlign w:val="superscript"/>
              </w:rPr>
              <w:t>-5</w:t>
            </w:r>
            <w:r>
              <w:rPr>
                <w:szCs w:val="21"/>
              </w:rPr>
              <w:t>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真空度（ IF/BK Press）</w:t>
            </w:r>
          </w:p>
        </w:tc>
        <w:tc>
          <w:tcPr>
            <w:tcW w:w="4737" w:type="dxa"/>
          </w:tcPr>
          <w:p>
            <w:pPr>
              <w:autoSpaceDE w:val="0"/>
              <w:autoSpaceDN w:val="0"/>
              <w:adjustRightInd w:val="0"/>
              <w:rPr>
                <w:szCs w:val="21"/>
              </w:rPr>
            </w:pPr>
            <w:r>
              <w:rPr>
                <w:szCs w:val="21"/>
              </w:rPr>
              <w:t>3.55Pa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vAlign w:val="top"/>
          </w:tcPr>
          <w:p>
            <w:pPr>
              <w:autoSpaceDE w:val="0"/>
              <w:autoSpaceDN w:val="0"/>
              <w:adjustRightInd w:val="0"/>
              <w:rPr>
                <w:rFonts w:ascii="Times New Roman" w:hAnsi="Times New Roman" w:eastAsia="宋体" w:cs="Times New Roman"/>
                <w:strike/>
                <w:dstrike w:val="0"/>
                <w:color w:val="0070C0"/>
                <w:kern w:val="2"/>
                <w:sz w:val="21"/>
                <w:szCs w:val="21"/>
                <w:highlight w:val="none"/>
                <w:lang w:val="en-US" w:eastAsia="zh-CN" w:bidi="ar-SA"/>
              </w:rPr>
            </w:pPr>
            <w:r>
              <w:rPr>
                <w:rFonts w:ascii="Times New Roman"/>
                <w:strike/>
                <w:dstrike w:val="0"/>
                <w:color w:val="0070C0"/>
                <w:sz w:val="21"/>
                <w:szCs w:val="21"/>
                <w:highlight w:val="none"/>
              </w:rPr>
              <w:t>氦气（He）流量</w:t>
            </w:r>
          </w:p>
        </w:tc>
        <w:tc>
          <w:tcPr>
            <w:tcW w:w="4737" w:type="dxa"/>
            <w:vAlign w:val="top"/>
          </w:tcPr>
          <w:p>
            <w:pPr>
              <w:autoSpaceDE w:val="0"/>
              <w:autoSpaceDN w:val="0"/>
              <w:adjustRightInd w:val="0"/>
              <w:rPr>
                <w:rFonts w:ascii="Times New Roman" w:hAnsi="Times New Roman" w:eastAsia="宋体" w:cs="Times New Roman"/>
                <w:strike/>
                <w:dstrike w:val="0"/>
                <w:color w:val="0070C0"/>
                <w:kern w:val="2"/>
                <w:sz w:val="21"/>
                <w:szCs w:val="21"/>
                <w:highlight w:val="none"/>
                <w:lang w:val="en-US" w:eastAsia="zh-CN" w:bidi="ar-SA"/>
              </w:rPr>
            </w:pPr>
            <w:r>
              <w:rPr>
                <w:rFonts w:hint="eastAsia"/>
                <w:strike/>
                <w:dstrike w:val="0"/>
                <w:color w:val="0070C0"/>
                <w:sz w:val="21"/>
                <w:szCs w:val="21"/>
                <w:highlight w:val="none"/>
                <w:lang w:val="en-US" w:eastAsia="zh-CN"/>
              </w:rPr>
              <w:t>0.8</w:t>
            </w:r>
            <w:r>
              <w:rPr>
                <w:rFonts w:ascii="Times New Roman"/>
                <w:strike/>
                <w:dstrike w:val="0"/>
                <w:color w:val="0070C0"/>
                <w:sz w:val="21"/>
                <w:szCs w:val="21"/>
                <w:highlight w:val="none"/>
              </w:rPr>
              <w:t>L/min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4833" w:type="dxa"/>
            <w:tcBorders>
              <w:bottom w:val="single" w:color="auto" w:sz="4" w:space="0"/>
            </w:tcBorders>
          </w:tcPr>
          <w:p>
            <w:pPr>
              <w:autoSpaceDE w:val="0"/>
              <w:autoSpaceDN w:val="0"/>
              <w:adjustRightInd w:val="0"/>
              <w:rPr>
                <w:szCs w:val="21"/>
              </w:rPr>
            </w:pPr>
            <w:r>
              <w:rPr>
                <w:szCs w:val="21"/>
              </w:rPr>
              <w:t>雾化室温度（ S/C Temp）</w:t>
            </w:r>
          </w:p>
        </w:tc>
        <w:tc>
          <w:tcPr>
            <w:tcW w:w="4737" w:type="dxa"/>
            <w:tcBorders>
              <w:bottom w:val="single" w:color="auto" w:sz="4" w:space="0"/>
            </w:tcBorders>
          </w:tcPr>
          <w:p>
            <w:pPr>
              <w:autoSpaceDE w:val="0"/>
              <w:autoSpaceDN w:val="0"/>
              <w:adjustRightInd w:val="0"/>
              <w:rPr>
                <w:szCs w:val="21"/>
              </w:rPr>
            </w:pPr>
            <w:r>
              <w:rPr>
                <w:szCs w:val="21"/>
              </w:rPr>
              <w:t>2</w:t>
            </w:r>
            <w:r>
              <w:rPr>
                <w:rFonts w:hint="eastAsia" w:ascii="宋体" w:hAnsi="宋体" w:cs="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调谐</w:t>
            </w:r>
            <w:r>
              <w:rPr>
                <w:rFonts w:hint="eastAsia"/>
                <w:szCs w:val="21"/>
              </w:rPr>
              <w:t>（</w:t>
            </w:r>
            <w:r>
              <w:rPr>
                <w:szCs w:val="21"/>
              </w:rPr>
              <w:t>Tune</w:t>
            </w:r>
            <w:r>
              <w:rPr>
                <w:rFonts w:hint="eastAsia"/>
                <w:szCs w:val="21"/>
              </w:rPr>
              <w:t>）</w:t>
            </w:r>
            <w:r>
              <w:rPr>
                <w:szCs w:val="21"/>
              </w:rPr>
              <w:t>元素</w:t>
            </w:r>
          </w:p>
        </w:tc>
        <w:tc>
          <w:tcPr>
            <w:tcW w:w="4737" w:type="dxa"/>
          </w:tcPr>
          <w:p>
            <w:pPr>
              <w:autoSpaceDE w:val="0"/>
              <w:autoSpaceDN w:val="0"/>
              <w:adjustRightInd w:val="0"/>
              <w:rPr>
                <w:szCs w:val="21"/>
              </w:rPr>
            </w:pPr>
            <w:r>
              <w:rPr>
                <w:rFonts w:hint="eastAsia"/>
                <w:szCs w:val="21"/>
              </w:rPr>
              <w:t>锂（</w:t>
            </w:r>
            <w:r>
              <w:rPr>
                <w:szCs w:val="21"/>
              </w:rPr>
              <w:t>Li 7</w:t>
            </w:r>
            <w:r>
              <w:rPr>
                <w:rFonts w:hint="eastAsia"/>
                <w:szCs w:val="21"/>
              </w:rPr>
              <w:t>），钇（</w:t>
            </w:r>
            <w:r>
              <w:rPr>
                <w:szCs w:val="21"/>
              </w:rPr>
              <w:t>Y 89</w:t>
            </w:r>
            <w:r>
              <w:rPr>
                <w:rFonts w:hint="eastAsia"/>
                <w:szCs w:val="21"/>
              </w:rPr>
              <w:t>），铊（</w:t>
            </w:r>
            <w:r>
              <w:rPr>
                <w:szCs w:val="21"/>
              </w:rPr>
              <w:t>Tl 205</w:t>
            </w:r>
            <w:r>
              <w:rPr>
                <w:rFonts w:hint="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循环水压力（Circulating Water Press）</w:t>
            </w:r>
          </w:p>
        </w:tc>
        <w:tc>
          <w:tcPr>
            <w:tcW w:w="4737" w:type="dxa"/>
          </w:tcPr>
          <w:p>
            <w:pPr>
              <w:autoSpaceDE w:val="0"/>
              <w:autoSpaceDN w:val="0"/>
              <w:adjustRightInd w:val="0"/>
              <w:rPr>
                <w:szCs w:val="21"/>
              </w:rPr>
            </w:pPr>
            <w:r>
              <w:rPr>
                <w:szCs w:val="21"/>
              </w:rPr>
              <w:t>300Kpa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rPr>
                <w:szCs w:val="21"/>
              </w:rPr>
            </w:pPr>
            <w:r>
              <w:rPr>
                <w:szCs w:val="21"/>
              </w:rPr>
              <w:t>排风量（Exhaust Air Rate）</w:t>
            </w:r>
          </w:p>
        </w:tc>
        <w:tc>
          <w:tcPr>
            <w:tcW w:w="4737" w:type="dxa"/>
          </w:tcPr>
          <w:p>
            <w:pPr>
              <w:rPr>
                <w:szCs w:val="21"/>
              </w:rPr>
            </w:pPr>
            <w:r>
              <w:rPr>
                <w:szCs w:val="21"/>
              </w:rPr>
              <w:t>13m/s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rPr>
                <w:szCs w:val="21"/>
              </w:rPr>
            </w:pPr>
            <w:r>
              <w:rPr>
                <w:rFonts w:hint="eastAsia"/>
                <w:szCs w:val="21"/>
              </w:rPr>
              <w:t>测定模式（</w:t>
            </w:r>
            <w:r>
              <w:rPr>
                <w:szCs w:val="21"/>
              </w:rPr>
              <w:t>Measurement mode</w:t>
            </w:r>
            <w:r>
              <w:rPr>
                <w:rFonts w:hint="eastAsia"/>
                <w:szCs w:val="21"/>
              </w:rPr>
              <w:t>）</w:t>
            </w:r>
          </w:p>
        </w:tc>
        <w:tc>
          <w:tcPr>
            <w:tcW w:w="4737" w:type="dxa"/>
          </w:tcPr>
          <w:p>
            <w:pPr>
              <w:rPr>
                <w:szCs w:val="21"/>
              </w:rPr>
            </w:pPr>
            <w:r>
              <w:rPr>
                <w:rFonts w:hint="eastAsia"/>
                <w:szCs w:val="21"/>
              </w:rPr>
              <w:t>动能歧视模式（</w:t>
            </w:r>
            <w:r>
              <w:rPr>
                <w:szCs w:val="21"/>
              </w:rPr>
              <w:t>KED</w:t>
            </w:r>
            <w:r>
              <w:rPr>
                <w:rFonts w:hint="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积分时间（Integral Time）</w:t>
            </w:r>
          </w:p>
        </w:tc>
        <w:tc>
          <w:tcPr>
            <w:tcW w:w="4737" w:type="dxa"/>
          </w:tcPr>
          <w:p>
            <w:pPr>
              <w:autoSpaceDE w:val="0"/>
              <w:autoSpaceDN w:val="0"/>
              <w:adjustRightInd w:val="0"/>
              <w:rPr>
                <w:szCs w:val="21"/>
              </w:rPr>
            </w:pPr>
            <w:r>
              <w:rPr>
                <w:szCs w:val="21"/>
              </w:rPr>
              <w:t>0.3s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峰型点数（Peak Pattern）</w:t>
            </w:r>
          </w:p>
        </w:tc>
        <w:tc>
          <w:tcPr>
            <w:tcW w:w="4737" w:type="dxa"/>
          </w:tcPr>
          <w:p>
            <w:pPr>
              <w:autoSpaceDE w:val="0"/>
              <w:autoSpaceDN w:val="0"/>
              <w:adjustRightInd w:val="0"/>
              <w:rPr>
                <w:szCs w:val="21"/>
              </w:rPr>
            </w:pPr>
            <w:r>
              <w:rPr>
                <w:szCs w:val="21"/>
              </w:rPr>
              <w:t>3点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每点重复次数（Replicates）</w:t>
            </w:r>
          </w:p>
        </w:tc>
        <w:tc>
          <w:tcPr>
            <w:tcW w:w="4737" w:type="dxa"/>
          </w:tcPr>
          <w:p>
            <w:pPr>
              <w:autoSpaceDE w:val="0"/>
              <w:autoSpaceDN w:val="0"/>
              <w:adjustRightInd w:val="0"/>
              <w:rPr>
                <w:szCs w:val="21"/>
              </w:rPr>
            </w:pPr>
            <w:r>
              <w:rPr>
                <w:szCs w:val="21"/>
              </w:rPr>
              <w:t>3次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833" w:type="dxa"/>
          </w:tcPr>
          <w:p>
            <w:pPr>
              <w:autoSpaceDE w:val="0"/>
              <w:autoSpaceDN w:val="0"/>
              <w:adjustRightInd w:val="0"/>
              <w:rPr>
                <w:szCs w:val="21"/>
              </w:rPr>
            </w:pPr>
            <w:r>
              <w:rPr>
                <w:szCs w:val="21"/>
              </w:rPr>
              <w:t>扫描次数（Sweeps）</w:t>
            </w:r>
          </w:p>
        </w:tc>
        <w:tc>
          <w:tcPr>
            <w:tcW w:w="4737" w:type="dxa"/>
          </w:tcPr>
          <w:p>
            <w:pPr>
              <w:autoSpaceDE w:val="0"/>
              <w:autoSpaceDN w:val="0"/>
              <w:adjustRightInd w:val="0"/>
              <w:rPr>
                <w:szCs w:val="21"/>
              </w:rPr>
            </w:pPr>
            <w:r>
              <w:rPr>
                <w:szCs w:val="21"/>
              </w:rPr>
              <w:t>50次</w:t>
            </w:r>
          </w:p>
        </w:tc>
      </w:tr>
    </w:tbl>
    <w:p>
      <w:pPr>
        <w:rPr>
          <w:szCs w:val="21"/>
        </w:rPr>
      </w:pPr>
    </w:p>
    <w:p>
      <w:pPr>
        <w:spacing w:before="156" w:beforeLines="50" w:after="156" w:afterLines="50"/>
        <w:rPr>
          <w:b/>
          <w:szCs w:val="21"/>
        </w:rPr>
      </w:pPr>
      <w:r>
        <w:rPr>
          <w:b/>
          <w:szCs w:val="21"/>
        </w:rPr>
        <w:t>三、主要试验（或验证）情况</w:t>
      </w:r>
    </w:p>
    <w:p>
      <w:pPr>
        <w:spacing w:after="240"/>
        <w:rPr>
          <w:rFonts w:eastAsia="黑体"/>
          <w:szCs w:val="21"/>
        </w:rPr>
      </w:pPr>
      <w:r>
        <w:rPr>
          <w:rFonts w:eastAsia="黑体"/>
          <w:szCs w:val="21"/>
        </w:rPr>
        <w:t>1、方法介绍</w:t>
      </w:r>
    </w:p>
    <w:p>
      <w:pPr>
        <w:rPr>
          <w:kern w:val="0"/>
          <w:szCs w:val="21"/>
        </w:rPr>
      </w:pPr>
      <w:r>
        <w:rPr>
          <w:kern w:val="0"/>
          <w:szCs w:val="21"/>
        </w:rPr>
        <w:t>1.1 现有检测方法：现有标准GB/T 13173-2021《表面活性剂 洗涤剂试验方法》中的磷含量检测有两个方法。1、磷钼酸喹啉重量法；2、磷钼蓝比色法。磷钼酸喹啉重量法需使用试剂二水合钼酸钠、一水合柠檬酸、喹啉、硝酸配制成柠檬酸钼酸钠试剂，且标准规定溶液配制后避光保存时间不超过1周。磷钼蓝比色法需配制钼酸铵-硫酸溶液、抗坏血酸溶液、五氧化二磷标准溶液，其中抗坏血酸保存时间仅2-3天。缺点：两种五氧化二磷含量的检测方法所需试剂种类较多，试剂配制工作量大，且由于部分试剂的保存时间短，试剂过期后需要重新配制，增加人员工作量。磷钼酸喹啉重量法中使用电热板煮沸和烘箱烘干，检测总计时间超过2h；磷钼蓝比色法中使用分光光度计测定相同浓度值的磷钼蓝试液吸光度值，会因为环境变化、加热时间等因素的不一致而产生差异，容易造成随机误差。综上所述，GB/T 13173-2021洗涤剂中磷含量的测定步骤繁琐，人员工作量较大，总检测时间较长。</w:t>
      </w:r>
    </w:p>
    <w:p>
      <w:pPr>
        <w:rPr>
          <w:kern w:val="0"/>
          <w:szCs w:val="21"/>
        </w:rPr>
      </w:pPr>
    </w:p>
    <w:p>
      <w:pPr>
        <w:pStyle w:val="27"/>
        <w:ind w:firstLine="0" w:firstLineChars="0"/>
        <w:rPr>
          <w:rFonts w:ascii="Times New Roman"/>
          <w:szCs w:val="21"/>
        </w:rPr>
      </w:pPr>
      <w:r>
        <w:rPr>
          <w:rFonts w:ascii="Times New Roman"/>
          <w:szCs w:val="21"/>
        </w:rPr>
        <w:t>1.2 本标准项目检测方法：应用当前检测元素较先进和便捷的技术—电感耦合等离子体质谱法（ICP-MS）检测洗涤剂中磷的含量。优点：只需购买可计量溯源的国家标准物质磷标准试剂，配制标准系列磷标准溶液，试剂溶液配制简单，且存放时间长（在冰箱内低温存放，可以保存6个月），减少人员工作量，缩短工作时间。当前采用的标准GB/T 13173对磷的检测单位是百分数（%）。而电感耦合等离子体发射光谱法（ICP-AES）对元素的检出限和定量限的单位可以达到百万分之一（mg/kg），能够对洗涤剂中磷元素的检测提供更低的检出限和更准确的定量限。</w:t>
      </w:r>
    </w:p>
    <w:p>
      <w:pPr>
        <w:pStyle w:val="27"/>
        <w:ind w:firstLine="420"/>
        <w:rPr>
          <w:rFonts w:ascii="Times New Roman"/>
          <w:szCs w:val="21"/>
        </w:rPr>
      </w:pPr>
      <w:r>
        <w:rPr>
          <w:rFonts w:ascii="Times New Roman"/>
          <w:szCs w:val="21"/>
        </w:rPr>
        <w:t>根据GB 5009.268-2016《食品安全国家标准 食品中多元素的测定》和GB 5009.87-2016《食品安全国家标准 食品中磷的测定》，有应用电感耦合等离子体发射光谱法（ICP-AES）对食品中磷元素进行测定的已实施的技术标准。检测技术电感耦合等离子体质谱法（ICP-MS）比检测技术电感耦合等离子体原子发射光谱法（ICP-AES）的检测能力更强。ICP-MS的检测限达到</w:t>
      </w:r>
      <w:r>
        <w:rPr>
          <w:rFonts w:ascii="Times New Roman"/>
        </w:rPr>
        <w:t>μg/kg</w:t>
      </w:r>
      <w:r>
        <w:rPr>
          <w:rFonts w:ascii="Times New Roman"/>
          <w:szCs w:val="21"/>
        </w:rPr>
        <w:t>（十亿分之一），ICP-AES的检测限达到百万分之一</w:t>
      </w:r>
      <w:r>
        <w:rPr>
          <w:rFonts w:ascii="Times New Roman"/>
        </w:rPr>
        <w:t>（mg/kg）</w:t>
      </w:r>
      <w:r>
        <w:rPr>
          <w:rFonts w:ascii="Times New Roman"/>
          <w:szCs w:val="21"/>
        </w:rPr>
        <w:t>，采用ICP-MS，能够对洗涤剂含有的低或痕量总五氧化二磷进行有效的定性和定量检测。参照NY/T 2541-2014 《肥料 磷含量的测定》，可确定磷质量换算为五氧化二磷质量的系数。</w:t>
      </w:r>
    </w:p>
    <w:p>
      <w:pPr>
        <w:spacing w:before="240" w:after="240"/>
        <w:rPr>
          <w:rFonts w:eastAsia="黑体"/>
          <w:szCs w:val="21"/>
        </w:rPr>
      </w:pPr>
      <w:r>
        <w:rPr>
          <w:rFonts w:eastAsia="黑体"/>
          <w:szCs w:val="21"/>
        </w:rPr>
        <w:t>2、先进性和创新性</w:t>
      </w:r>
    </w:p>
    <w:p>
      <w:pPr>
        <w:ind w:firstLine="420" w:firstLineChars="200"/>
        <w:rPr>
          <w:kern w:val="0"/>
          <w:szCs w:val="21"/>
        </w:rPr>
      </w:pPr>
      <w:r>
        <w:rPr>
          <w:kern w:val="0"/>
          <w:szCs w:val="21"/>
        </w:rPr>
        <w:t>先进性：五氧化二磷（ P</w:t>
      </w:r>
      <w:r>
        <w:rPr>
          <w:kern w:val="0"/>
          <w:szCs w:val="21"/>
          <w:vertAlign w:val="subscript"/>
        </w:rPr>
        <w:t>2</w:t>
      </w:r>
      <w:r>
        <w:rPr>
          <w:kern w:val="0"/>
          <w:szCs w:val="21"/>
        </w:rPr>
        <w:t>O</w:t>
      </w:r>
      <w:r>
        <w:rPr>
          <w:kern w:val="0"/>
          <w:szCs w:val="21"/>
          <w:vertAlign w:val="subscript"/>
        </w:rPr>
        <w:t>5</w:t>
      </w:r>
      <w:r>
        <w:rPr>
          <w:kern w:val="0"/>
          <w:szCs w:val="21"/>
        </w:rPr>
        <w:t>）是酸性氧化物、有强腐蚀性，对人体皮肤和消化系统会产生腐蚀损害，大量排放到江河湖泊中会危害水中动植物的成长。由于国家环境保护政策的实施，当前表面活性剂（洗涤剂、洗洁精、洗衣粉等）产品磷元素的添加受到限制。无磷、低磷的洗涤剂产品应用越来越广泛。因此应用检测方便、快捷且低量（或痕量）检出限的技术是有必要的。ICP-MS元素检测技术就是目前较为先进有效的方法。因此，应用ICP-MS法对低磷或无磷含量的总磷的定性和定量分析是先进可行的。</w:t>
      </w:r>
    </w:p>
    <w:p>
      <w:pPr>
        <w:ind w:firstLine="420" w:firstLineChars="200"/>
        <w:rPr>
          <w:sz w:val="24"/>
        </w:rPr>
      </w:pPr>
      <w:r>
        <w:rPr>
          <w:kern w:val="0"/>
          <w:szCs w:val="21"/>
        </w:rPr>
        <w:t>创新性：根据磷（P）质量换算为五氧化二磷（P</w:t>
      </w:r>
      <w:r>
        <w:rPr>
          <w:kern w:val="0"/>
          <w:szCs w:val="21"/>
          <w:vertAlign w:val="subscript"/>
        </w:rPr>
        <w:t>2</w:t>
      </w:r>
      <w:r>
        <w:rPr>
          <w:kern w:val="0"/>
          <w:szCs w:val="21"/>
        </w:rPr>
        <w:t>O</w:t>
      </w:r>
      <w:r>
        <w:rPr>
          <w:kern w:val="0"/>
          <w:szCs w:val="21"/>
          <w:vertAlign w:val="subscript"/>
        </w:rPr>
        <w:t>5</w:t>
      </w:r>
      <w:r>
        <w:rPr>
          <w:kern w:val="0"/>
          <w:szCs w:val="21"/>
        </w:rPr>
        <w:t>）质量的系数2.2913，计算出洗涤剂中总五氧化磷的含量；应用ICP-MS法计算洗涤剂产品中总五氧化二磷的检出限和定量</w:t>
      </w:r>
      <w:r>
        <w:rPr>
          <w:sz w:val="24"/>
        </w:rPr>
        <w:t>限。换算公式的计算方法：</w:t>
      </w:r>
      <w:r>
        <w:rPr>
          <w:position w:val="-30"/>
          <w:sz w:val="28"/>
          <w:szCs w:val="28"/>
        </w:rPr>
        <w:object>
          <v:shape id="_x0000_i1026" o:spt="75" type="#_x0000_t75" style="height:34.2pt;width:160.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p>
      <w:pPr>
        <w:spacing w:before="240" w:after="240"/>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方法验证</w:t>
      </w:r>
    </w:p>
    <w:p>
      <w:pPr>
        <w:rPr>
          <w:kern w:val="0"/>
          <w:szCs w:val="21"/>
        </w:rPr>
      </w:pPr>
      <w:r>
        <w:rPr>
          <w:kern w:val="0"/>
          <w:szCs w:val="21"/>
        </w:rPr>
        <w:t>3.1</w:t>
      </w:r>
      <w:r>
        <w:rPr>
          <w:rFonts w:hint="eastAsia"/>
          <w:kern w:val="0"/>
          <w:szCs w:val="21"/>
        </w:rPr>
        <w:t>标准曲线</w:t>
      </w:r>
    </w:p>
    <w:p>
      <w:pPr>
        <w:ind w:firstLine="420" w:firstLineChars="200"/>
        <w:rPr>
          <w:kern w:val="0"/>
          <w:szCs w:val="21"/>
        </w:rPr>
      </w:pPr>
      <w:r>
        <w:rPr>
          <w:rFonts w:hint="eastAsia"/>
          <w:kern w:val="0"/>
          <w:szCs w:val="21"/>
        </w:rPr>
        <w:t>以磷元素与内标钪元素响应值比值为横坐标，以磷元素的浓度</w:t>
      </w:r>
      <w:r>
        <w:rPr>
          <w:kern w:val="0"/>
          <w:szCs w:val="21"/>
        </w:rPr>
        <w:t>0</w:t>
      </w:r>
      <w:r>
        <w:rPr>
          <w:rFonts w:ascii="MS Mincho" w:hAnsi="MS Mincho" w:eastAsia="MS Mincho" w:cs="MS Mincho"/>
          <w:kern w:val="0"/>
          <w:szCs w:val="21"/>
        </w:rPr>
        <w:t>‑</w:t>
      </w:r>
      <w:r>
        <w:rPr>
          <w:kern w:val="0"/>
          <w:szCs w:val="21"/>
        </w:rPr>
        <w:t>200 μg/L</w:t>
      </w:r>
      <w:r>
        <w:rPr>
          <w:rFonts w:hint="eastAsia"/>
          <w:kern w:val="0"/>
          <w:szCs w:val="21"/>
        </w:rPr>
        <w:t>为横坐标，绘制标准曲线，得到线性关系方程为</w:t>
      </w:r>
      <w:r>
        <w:rPr>
          <w:kern w:val="0"/>
          <w:szCs w:val="21"/>
        </w:rPr>
        <w:t>Y</w:t>
      </w:r>
      <w:r>
        <w:rPr>
          <w:rFonts w:hint="eastAsia"/>
          <w:kern w:val="0"/>
          <w:szCs w:val="21"/>
        </w:rPr>
        <w:t>＝</w:t>
      </w:r>
      <w:r>
        <w:rPr>
          <w:kern w:val="0"/>
          <w:szCs w:val="21"/>
        </w:rPr>
        <w:t>18.434x-16.567</w:t>
      </w:r>
      <w:r>
        <w:rPr>
          <w:rFonts w:hint="eastAsia"/>
          <w:kern w:val="0"/>
          <w:szCs w:val="21"/>
        </w:rPr>
        <w:t>，相关系数</w:t>
      </w:r>
      <w:r>
        <w:rPr>
          <w:kern w:val="0"/>
          <w:szCs w:val="21"/>
        </w:rPr>
        <w:t>R</w:t>
      </w:r>
      <w:r>
        <w:rPr>
          <w:kern w:val="0"/>
          <w:szCs w:val="21"/>
          <w:vertAlign w:val="superscript"/>
        </w:rPr>
        <w:t>2</w:t>
      </w:r>
      <w:r>
        <w:rPr>
          <w:rFonts w:hint="eastAsia"/>
          <w:kern w:val="0"/>
          <w:szCs w:val="21"/>
        </w:rPr>
        <w:t>为</w:t>
      </w:r>
      <w:r>
        <w:rPr>
          <w:kern w:val="0"/>
          <w:szCs w:val="21"/>
        </w:rPr>
        <w:t>0 .9966</w:t>
      </w:r>
      <w:r>
        <w:rPr>
          <w:rFonts w:hint="eastAsia"/>
          <w:kern w:val="0"/>
          <w:szCs w:val="21"/>
        </w:rPr>
        <w:t>，表明线性关系良好。</w:t>
      </w:r>
    </w:p>
    <w:p>
      <w:pPr>
        <w:spacing w:before="240"/>
        <w:rPr>
          <w:kern w:val="0"/>
          <w:szCs w:val="21"/>
        </w:rPr>
      </w:pPr>
      <w:r>
        <w:rPr>
          <w:kern w:val="0"/>
          <w:szCs w:val="21"/>
        </w:rPr>
        <w:t>3.2</w:t>
      </w:r>
      <w:r>
        <w:rPr>
          <w:rFonts w:hint="eastAsia"/>
          <w:kern w:val="0"/>
          <w:szCs w:val="21"/>
        </w:rPr>
        <w:t>检出限及定量限</w:t>
      </w:r>
    </w:p>
    <w:p>
      <w:pPr>
        <w:ind w:firstLine="420" w:firstLineChars="200"/>
        <w:rPr>
          <w:kern w:val="0"/>
          <w:szCs w:val="21"/>
        </w:rPr>
      </w:pPr>
      <w:r>
        <w:rPr>
          <w:rFonts w:hint="eastAsia"/>
          <w:kern w:val="0"/>
          <w:szCs w:val="21"/>
        </w:rPr>
        <w:t>按照</w:t>
      </w:r>
      <w:r>
        <w:rPr>
          <w:kern w:val="0"/>
          <w:szCs w:val="21"/>
        </w:rPr>
        <w:t>GB 5009.1</w:t>
      </w:r>
      <w:r>
        <w:rPr>
          <w:rFonts w:ascii="MS Mincho" w:hAnsi="MS Mincho" w:eastAsia="MS Mincho" w:cs="MS Mincho"/>
          <w:kern w:val="0"/>
          <w:szCs w:val="21"/>
        </w:rPr>
        <w:t>‑</w:t>
      </w:r>
      <w:r>
        <w:rPr>
          <w:kern w:val="0"/>
          <w:szCs w:val="21"/>
        </w:rPr>
        <w:t>2003</w:t>
      </w:r>
      <w:r>
        <w:rPr>
          <w:rFonts w:hint="eastAsia"/>
          <w:kern w:val="0"/>
          <w:szCs w:val="21"/>
        </w:rPr>
        <w:t>附录</w:t>
      </w:r>
      <w:r>
        <w:rPr>
          <w:kern w:val="0"/>
          <w:szCs w:val="21"/>
        </w:rPr>
        <w:t>A</w:t>
      </w:r>
      <w:r>
        <w:rPr>
          <w:rFonts w:hint="eastAsia"/>
          <w:kern w:val="0"/>
          <w:szCs w:val="21"/>
        </w:rPr>
        <w:t>要求，取</w:t>
      </w:r>
      <w:r>
        <w:rPr>
          <w:kern w:val="0"/>
          <w:szCs w:val="21"/>
        </w:rPr>
        <w:t>20</w:t>
      </w:r>
      <w:r>
        <w:rPr>
          <w:rFonts w:hint="eastAsia"/>
          <w:kern w:val="0"/>
          <w:szCs w:val="21"/>
        </w:rPr>
        <w:t>次空白样品进样，计算检出限及定量限，得到检出限为</w:t>
      </w:r>
      <w:r>
        <w:rPr>
          <w:kern w:val="0"/>
          <w:szCs w:val="21"/>
        </w:rPr>
        <w:t>0.2 mg/kg</w:t>
      </w:r>
      <w:r>
        <w:rPr>
          <w:rFonts w:hint="eastAsia"/>
          <w:kern w:val="0"/>
          <w:szCs w:val="21"/>
        </w:rPr>
        <w:t>，定量限为</w:t>
      </w:r>
      <w:r>
        <w:rPr>
          <w:kern w:val="0"/>
          <w:szCs w:val="21"/>
        </w:rPr>
        <w:t>0.6 mg/kg</w:t>
      </w:r>
      <w:r>
        <w:rPr>
          <w:rFonts w:hint="eastAsia"/>
          <w:kern w:val="0"/>
          <w:szCs w:val="21"/>
        </w:rPr>
        <w:t>，相较于</w:t>
      </w:r>
      <w:r>
        <w:rPr>
          <w:kern w:val="0"/>
          <w:szCs w:val="21"/>
        </w:rPr>
        <w:t>GB/T 13173-2021</w:t>
      </w:r>
      <w:r>
        <w:rPr>
          <w:rFonts w:hint="eastAsia"/>
          <w:szCs w:val="21"/>
        </w:rPr>
        <w:t>中磷钼蓝比色法</w:t>
      </w:r>
      <w:r>
        <w:rPr>
          <w:rFonts w:hint="eastAsia"/>
          <w:kern w:val="0"/>
          <w:szCs w:val="21"/>
        </w:rPr>
        <w:t>检出限（</w:t>
      </w:r>
      <w:r>
        <w:rPr>
          <w:kern w:val="0"/>
          <w:szCs w:val="21"/>
        </w:rPr>
        <w:t>0.008%</w:t>
      </w:r>
      <w:r>
        <w:rPr>
          <w:rFonts w:hint="eastAsia"/>
          <w:kern w:val="0"/>
          <w:szCs w:val="21"/>
        </w:rPr>
        <w:t>）更低，检测更加灵敏，更适用于低浓度磷的洗涤剂样品检测。</w:t>
      </w:r>
    </w:p>
    <w:p>
      <w:pPr>
        <w:pStyle w:val="55"/>
        <w:numPr>
          <w:ilvl w:val="0"/>
          <w:numId w:val="4"/>
        </w:numPr>
        <w:spacing w:before="156" w:after="156"/>
        <w:rPr>
          <w:rFonts w:ascii="Times New Roman" w:eastAsia="宋体"/>
          <w:szCs w:val="21"/>
        </w:rPr>
      </w:pPr>
      <w:r>
        <w:rPr>
          <w:rFonts w:hint="eastAsia" w:ascii="Times New Roman" w:eastAsia="宋体"/>
          <w:szCs w:val="21"/>
        </w:rPr>
        <w:t>磷（以</w:t>
      </w:r>
      <w:r>
        <w:rPr>
          <w:rFonts w:ascii="Times New Roman" w:eastAsia="宋体"/>
          <w:szCs w:val="21"/>
        </w:rPr>
        <w:t>P</w:t>
      </w:r>
      <w:r>
        <w:rPr>
          <w:rFonts w:ascii="Times New Roman" w:eastAsia="宋体"/>
          <w:szCs w:val="21"/>
          <w:vertAlign w:val="subscript"/>
        </w:rPr>
        <w:t>2</w:t>
      </w:r>
      <w:r>
        <w:rPr>
          <w:rFonts w:ascii="Times New Roman" w:eastAsia="宋体"/>
          <w:szCs w:val="21"/>
        </w:rPr>
        <w:t>O</w:t>
      </w:r>
      <w:r>
        <w:rPr>
          <w:rFonts w:ascii="Times New Roman" w:eastAsia="宋体"/>
          <w:szCs w:val="21"/>
          <w:vertAlign w:val="subscript"/>
        </w:rPr>
        <w:t>5</w:t>
      </w:r>
      <w:r>
        <w:rPr>
          <w:rFonts w:hint="eastAsia" w:ascii="Times New Roman" w:eastAsia="宋体"/>
          <w:szCs w:val="21"/>
        </w:rPr>
        <w:t>计）的检出限和定量限</w:t>
      </w:r>
    </w:p>
    <w:tbl>
      <w:tblPr>
        <w:tblStyle w:val="15"/>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3255"/>
        <w:gridCol w:w="3079"/>
        <w:gridCol w:w="23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tcBorders>
              <w:top w:val="single" w:color="auto" w:sz="8" w:space="0"/>
              <w:bottom w:val="single" w:color="auto" w:sz="8" w:space="0"/>
            </w:tcBorders>
          </w:tcPr>
          <w:p>
            <w:pPr>
              <w:autoSpaceDE w:val="0"/>
              <w:autoSpaceDN w:val="0"/>
              <w:adjustRightInd w:val="0"/>
              <w:rPr>
                <w:szCs w:val="21"/>
              </w:rPr>
            </w:pPr>
            <w:r>
              <w:rPr>
                <w:rFonts w:hint="eastAsia"/>
                <w:szCs w:val="21"/>
              </w:rPr>
              <w:t>序号</w:t>
            </w:r>
          </w:p>
        </w:tc>
        <w:tc>
          <w:tcPr>
            <w:tcW w:w="3255" w:type="dxa"/>
            <w:tcBorders>
              <w:top w:val="single" w:color="auto" w:sz="8" w:space="0"/>
              <w:bottom w:val="single" w:color="auto" w:sz="8" w:space="0"/>
            </w:tcBorders>
          </w:tcPr>
          <w:p>
            <w:pPr>
              <w:autoSpaceDE w:val="0"/>
              <w:autoSpaceDN w:val="0"/>
              <w:adjustRightInd w:val="0"/>
              <w:rPr>
                <w:szCs w:val="21"/>
              </w:rPr>
            </w:pPr>
            <w:r>
              <w:rPr>
                <w:rFonts w:hint="eastAsia"/>
                <w:szCs w:val="21"/>
              </w:rPr>
              <w:t>被测组分</w:t>
            </w:r>
          </w:p>
        </w:tc>
        <w:tc>
          <w:tcPr>
            <w:tcW w:w="3079" w:type="dxa"/>
            <w:tcBorders>
              <w:top w:val="single" w:color="auto" w:sz="8" w:space="0"/>
              <w:bottom w:val="single" w:color="auto" w:sz="8" w:space="0"/>
            </w:tcBorders>
          </w:tcPr>
          <w:p>
            <w:pPr>
              <w:autoSpaceDE w:val="0"/>
              <w:autoSpaceDN w:val="0"/>
              <w:adjustRightInd w:val="0"/>
              <w:rPr>
                <w:szCs w:val="21"/>
              </w:rPr>
            </w:pPr>
            <w:r>
              <w:rPr>
                <w:rFonts w:hint="eastAsia"/>
                <w:szCs w:val="21"/>
              </w:rPr>
              <w:t>方法检出限（</w:t>
            </w:r>
            <w:r>
              <w:rPr>
                <w:kern w:val="0"/>
                <w:szCs w:val="21"/>
              </w:rPr>
              <w:t>mg/kg</w:t>
            </w:r>
            <w:r>
              <w:rPr>
                <w:rFonts w:hint="eastAsia"/>
                <w:szCs w:val="21"/>
              </w:rPr>
              <w:t>）</w:t>
            </w:r>
          </w:p>
        </w:tc>
        <w:tc>
          <w:tcPr>
            <w:tcW w:w="2393" w:type="dxa"/>
            <w:tcBorders>
              <w:top w:val="single" w:color="auto" w:sz="8" w:space="0"/>
              <w:bottom w:val="single" w:color="auto" w:sz="8" w:space="0"/>
            </w:tcBorders>
          </w:tcPr>
          <w:p>
            <w:pPr>
              <w:autoSpaceDE w:val="0"/>
              <w:autoSpaceDN w:val="0"/>
              <w:adjustRightInd w:val="0"/>
              <w:rPr>
                <w:szCs w:val="21"/>
              </w:rPr>
            </w:pPr>
            <w:r>
              <w:rPr>
                <w:rFonts w:hint="eastAsia"/>
                <w:szCs w:val="21"/>
              </w:rPr>
              <w:t>方法定量限（</w:t>
            </w:r>
            <w:r>
              <w:rPr>
                <w:kern w:val="0"/>
                <w:szCs w:val="21"/>
              </w:rPr>
              <w:t>mg/kg</w:t>
            </w:r>
            <w:r>
              <w:rPr>
                <w:rFonts w:hint="eastAsia"/>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tcPr>
          <w:p>
            <w:pPr>
              <w:rPr>
                <w:szCs w:val="21"/>
              </w:rPr>
            </w:pPr>
            <w:r>
              <w:rPr>
                <w:szCs w:val="21"/>
              </w:rPr>
              <w:t>1</w:t>
            </w:r>
          </w:p>
        </w:tc>
        <w:tc>
          <w:tcPr>
            <w:tcW w:w="3255" w:type="dxa"/>
            <w:vAlign w:val="center"/>
          </w:tcPr>
          <w:p>
            <w:pPr>
              <w:rPr>
                <w:szCs w:val="21"/>
              </w:rPr>
            </w:pPr>
            <w:r>
              <w:rPr>
                <w:szCs w:val="21"/>
              </w:rPr>
              <w:t>磷（以P</w:t>
            </w:r>
            <w:r>
              <w:rPr>
                <w:szCs w:val="21"/>
                <w:vertAlign w:val="subscript"/>
              </w:rPr>
              <w:t>2</w:t>
            </w:r>
            <w:r>
              <w:rPr>
                <w:szCs w:val="21"/>
              </w:rPr>
              <w:t>O</w:t>
            </w:r>
            <w:r>
              <w:rPr>
                <w:szCs w:val="21"/>
                <w:vertAlign w:val="subscript"/>
              </w:rPr>
              <w:t>5</w:t>
            </w:r>
            <w:r>
              <w:rPr>
                <w:szCs w:val="21"/>
              </w:rPr>
              <w:t>计）</w:t>
            </w:r>
          </w:p>
        </w:tc>
        <w:tc>
          <w:tcPr>
            <w:tcW w:w="3079" w:type="dxa"/>
          </w:tcPr>
          <w:p>
            <w:pPr>
              <w:rPr>
                <w:szCs w:val="21"/>
              </w:rPr>
            </w:pPr>
            <w:r>
              <w:rPr>
                <w:szCs w:val="21"/>
              </w:rPr>
              <w:t>0.2</w:t>
            </w:r>
          </w:p>
        </w:tc>
        <w:tc>
          <w:tcPr>
            <w:tcW w:w="2393" w:type="dxa"/>
          </w:tcPr>
          <w:p>
            <w:pPr>
              <w:rPr>
                <w:szCs w:val="21"/>
              </w:rPr>
            </w:pPr>
            <w:r>
              <w:rPr>
                <w:szCs w:val="21"/>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top w:val="single" w:color="auto" w:sz="4" w:space="0"/>
              <w:bottom w:val="single" w:color="auto" w:sz="8" w:space="0"/>
            </w:tcBorders>
          </w:tcPr>
          <w:p>
            <w:pPr>
              <w:pStyle w:val="50"/>
              <w:rPr>
                <w:rFonts w:ascii="Times New Roman"/>
                <w:sz w:val="21"/>
                <w:szCs w:val="21"/>
              </w:rPr>
            </w:pPr>
            <w:r>
              <w:rPr>
                <w:rFonts w:hint="eastAsia" w:ascii="Times New Roman"/>
                <w:sz w:val="21"/>
                <w:szCs w:val="21"/>
              </w:rPr>
              <w:t>注：以称样量为</w:t>
            </w:r>
            <w:r>
              <w:rPr>
                <w:rFonts w:ascii="Times New Roman"/>
                <w:sz w:val="21"/>
                <w:szCs w:val="21"/>
              </w:rPr>
              <w:t>0.2 g</w:t>
            </w:r>
            <w:r>
              <w:rPr>
                <w:rFonts w:hint="eastAsia" w:ascii="Times New Roman"/>
                <w:sz w:val="21"/>
                <w:szCs w:val="21"/>
              </w:rPr>
              <w:t>，定容体积为</w:t>
            </w:r>
            <w:r>
              <w:rPr>
                <w:rFonts w:ascii="Times New Roman"/>
                <w:sz w:val="21"/>
                <w:szCs w:val="21"/>
              </w:rPr>
              <w:t>50 mL</w:t>
            </w:r>
            <w:r>
              <w:rPr>
                <w:rFonts w:hint="eastAsia" w:ascii="Times New Roman"/>
                <w:sz w:val="21"/>
                <w:szCs w:val="21"/>
              </w:rPr>
              <w:t>计算。</w:t>
            </w:r>
          </w:p>
        </w:tc>
      </w:tr>
    </w:tbl>
    <w:p>
      <w:pPr>
        <w:rPr>
          <w:kern w:val="0"/>
          <w:szCs w:val="21"/>
        </w:rPr>
      </w:pPr>
    </w:p>
    <w:p>
      <w:pPr>
        <w:spacing w:before="240"/>
        <w:rPr>
          <w:rFonts w:ascii="黑体" w:hAnsi="黑体" w:eastAsia="黑体"/>
          <w:kern w:val="0"/>
          <w:szCs w:val="21"/>
        </w:rPr>
      </w:pPr>
      <w:r>
        <w:rPr>
          <w:rFonts w:ascii="黑体" w:hAnsi="黑体" w:eastAsia="黑体"/>
          <w:kern w:val="0"/>
          <w:szCs w:val="21"/>
        </w:rPr>
        <w:t>4.</w:t>
      </w:r>
      <w:r>
        <w:rPr>
          <w:rFonts w:hint="eastAsia" w:ascii="黑体" w:hAnsi="黑体" w:eastAsia="黑体"/>
          <w:kern w:val="0"/>
          <w:szCs w:val="21"/>
        </w:rPr>
        <w:t>试验数据</w:t>
      </w:r>
    </w:p>
    <w:p>
      <w:pPr>
        <w:spacing w:before="240"/>
        <w:rPr>
          <w:kern w:val="0"/>
          <w:szCs w:val="21"/>
        </w:rPr>
      </w:pPr>
      <w:r>
        <w:rPr>
          <w:kern w:val="0"/>
          <w:szCs w:val="21"/>
        </w:rPr>
        <w:t>4.1 本项目的试验数据</w:t>
      </w:r>
    </w:p>
    <w:p>
      <w:pPr>
        <w:spacing w:before="240"/>
        <w:jc w:val="center"/>
        <w:rPr>
          <w:kern w:val="0"/>
          <w:szCs w:val="21"/>
        </w:rPr>
      </w:pPr>
      <w:r>
        <w:rPr>
          <w:rFonts w:hint="eastAsia"/>
          <w:kern w:val="0"/>
          <w:szCs w:val="21"/>
        </w:rPr>
        <w:t>表2</w:t>
      </w:r>
      <w:r>
        <w:rPr>
          <w:kern w:val="0"/>
          <w:szCs w:val="21"/>
        </w:rPr>
        <w:t xml:space="preserve">  </w:t>
      </w:r>
      <w:r>
        <w:rPr>
          <w:szCs w:val="21"/>
        </w:rPr>
        <w:t>ICP-MS</w:t>
      </w:r>
      <w:r>
        <w:rPr>
          <w:rFonts w:hint="eastAsia"/>
          <w:szCs w:val="21"/>
        </w:rPr>
        <w:t>法测试数据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552"/>
        <w:gridCol w:w="1843"/>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129"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样品编号</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试剂浓度值ρ</w:t>
            </w:r>
            <w:r>
              <w:rPr>
                <w:rFonts w:hint="eastAsia"/>
                <w:szCs w:val="21"/>
              </w:rPr>
              <w:t>（</w:t>
            </w:r>
            <w:r>
              <w:rPr>
                <w:szCs w:val="21"/>
              </w:rPr>
              <w:t>μg/L</w:t>
            </w:r>
            <w:r>
              <w:rPr>
                <w:rFonts w:hint="eastAsia"/>
                <w:szCs w:val="21"/>
              </w:rPr>
              <w:t>）</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textAlignment w:val="baseline"/>
              <w:rPr>
                <w:szCs w:val="21"/>
              </w:rPr>
            </w:pPr>
            <w:r>
              <w:rPr>
                <w:szCs w:val="21"/>
              </w:rPr>
              <w:t>样品质量m</w:t>
            </w:r>
            <w:r>
              <w:rPr>
                <w:rFonts w:hint="eastAsia"/>
                <w:szCs w:val="21"/>
              </w:rPr>
              <w:t>（</w:t>
            </w:r>
            <w:r>
              <w:rPr>
                <w:szCs w:val="21"/>
              </w:rPr>
              <w:t>g</w:t>
            </w:r>
            <w:r>
              <w:rPr>
                <w:rFonts w:hint="eastAsia"/>
                <w:szCs w:val="21"/>
              </w:rPr>
              <w:t>）</w:t>
            </w:r>
          </w:p>
        </w:tc>
        <w:tc>
          <w:tcPr>
            <w:tcW w:w="3541"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textAlignment w:val="baseline"/>
              <w:rPr>
                <w:szCs w:val="21"/>
              </w:rPr>
            </w:pPr>
            <w:r>
              <w:rPr>
                <w:szCs w:val="21"/>
              </w:rPr>
              <w:t>试样中磷（以P</w:t>
            </w:r>
            <w:r>
              <w:rPr>
                <w:szCs w:val="21"/>
                <w:vertAlign w:val="subscript"/>
              </w:rPr>
              <w:t>2</w:t>
            </w:r>
            <w:r>
              <w:rPr>
                <w:szCs w:val="21"/>
              </w:rPr>
              <w:t>O</w:t>
            </w:r>
            <w:r>
              <w:rPr>
                <w:szCs w:val="21"/>
                <w:vertAlign w:val="subscript"/>
              </w:rPr>
              <w:t>5</w:t>
            </w:r>
            <w:r>
              <w:rPr>
                <w:szCs w:val="21"/>
              </w:rPr>
              <w:t>计）</w:t>
            </w:r>
            <w:r>
              <w:rPr>
                <w:rFonts w:hint="eastAsia"/>
                <w:szCs w:val="21"/>
              </w:rPr>
              <w:t>含量</w:t>
            </w:r>
            <w:r>
              <w:rPr>
                <w:szCs w:val="21"/>
              </w:rPr>
              <w:t>X</w:t>
            </w:r>
            <w:r>
              <w:rPr>
                <w:rFonts w:hint="eastAsia"/>
                <w:szCs w:val="21"/>
              </w:rPr>
              <w:t>（</w:t>
            </w:r>
            <w:r>
              <w:rPr>
                <w:szCs w:val="21"/>
              </w:rPr>
              <w:t>%</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0</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0.1125</w:t>
            </w:r>
          </w:p>
        </w:tc>
        <w:tc>
          <w:tcPr>
            <w:tcW w:w="184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w:t>
            </w:r>
          </w:p>
        </w:tc>
        <w:tc>
          <w:tcPr>
            <w:tcW w:w="3541"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1</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27.42</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0.3085</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2</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26.65</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0.2958</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3</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28.42</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0.3033</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4</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27.64</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0.3129</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5</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25.47</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0.2988</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129"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center"/>
              <w:textAlignment w:val="baseline"/>
              <w:rPr>
                <w:szCs w:val="21"/>
              </w:rPr>
            </w:pPr>
            <w:r>
              <w:rPr>
                <w:szCs w:val="21"/>
              </w:rPr>
              <w:t>6</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29.16</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0.3052</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524" w:type="dxa"/>
            <w:gridSpan w:val="3"/>
            <w:tcBorders>
              <w:top w:val="single" w:color="auto" w:sz="4" w:space="0"/>
              <w:left w:val="single" w:color="auto" w:sz="4" w:space="0"/>
              <w:bottom w:val="single" w:color="auto" w:sz="4" w:space="0"/>
              <w:right w:val="single" w:color="auto" w:sz="4" w:space="0"/>
            </w:tcBorders>
            <w:vAlign w:val="center"/>
          </w:tcPr>
          <w:p>
            <w:pPr>
              <w:jc w:val="center"/>
              <w:rPr>
                <w:sz w:val="22"/>
                <w:szCs w:val="22"/>
              </w:rPr>
            </w:pPr>
            <w:bookmarkStart w:id="29" w:name="_Hlk162854876"/>
            <w:r>
              <w:rPr>
                <w:szCs w:val="21"/>
              </w:rPr>
              <w:t>磷（以P</w:t>
            </w:r>
            <w:r>
              <w:rPr>
                <w:szCs w:val="21"/>
                <w:vertAlign w:val="subscript"/>
              </w:rPr>
              <w:t>2</w:t>
            </w:r>
            <w:r>
              <w:rPr>
                <w:szCs w:val="21"/>
              </w:rPr>
              <w:t>O</w:t>
            </w:r>
            <w:r>
              <w:rPr>
                <w:szCs w:val="21"/>
                <w:vertAlign w:val="subscript"/>
              </w:rPr>
              <w:t>5</w:t>
            </w:r>
            <w:r>
              <w:rPr>
                <w:szCs w:val="21"/>
              </w:rPr>
              <w:t>计）</w:t>
            </w:r>
            <w:bookmarkEnd w:id="29"/>
            <w:r>
              <w:rPr>
                <w:szCs w:val="21"/>
              </w:rPr>
              <w:t>含量</w:t>
            </w:r>
            <w:r>
              <w:rPr>
                <w:sz w:val="22"/>
                <w:szCs w:val="22"/>
              </w:rPr>
              <w:t>平均值</w:t>
            </w:r>
            <w:r>
              <w:rPr>
                <w:rFonts w:hint="eastAsia"/>
                <w:sz w:val="22"/>
                <w:szCs w:val="22"/>
              </w:rPr>
              <w:t>（</w:t>
            </w:r>
            <w:r>
              <w:rPr>
                <w:sz w:val="22"/>
                <w:szCs w:val="22"/>
              </w:rPr>
              <w:t>%</w:t>
            </w:r>
            <w:r>
              <w:rPr>
                <w:rFonts w:hint="eastAsia"/>
                <w:sz w:val="22"/>
                <w:szCs w:val="22"/>
              </w:rPr>
              <w:t>）</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524" w:type="dxa"/>
            <w:gridSpan w:val="3"/>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相对标准偏差（RSD）</w:t>
            </w:r>
            <w:r>
              <w:rPr>
                <w:rFonts w:hint="eastAsia"/>
                <w:sz w:val="22"/>
                <w:szCs w:val="22"/>
              </w:rPr>
              <w:t>（</w:t>
            </w:r>
            <w:r>
              <w:rPr>
                <w:sz w:val="22"/>
                <w:szCs w:val="22"/>
              </w:rPr>
              <w:t>%</w:t>
            </w:r>
            <w:r>
              <w:rPr>
                <w:rFonts w:hint="eastAsia"/>
                <w:sz w:val="22"/>
                <w:szCs w:val="22"/>
              </w:rPr>
              <w:t>）</w:t>
            </w:r>
          </w:p>
        </w:tc>
        <w:tc>
          <w:tcPr>
            <w:tcW w:w="354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5"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szCs w:val="21"/>
              </w:rPr>
            </w:pPr>
            <w:r>
              <w:rPr>
                <w:szCs w:val="21"/>
              </w:rPr>
              <w:t>X—试样中磷的质量分数（以P</w:t>
            </w:r>
            <w:r>
              <w:rPr>
                <w:szCs w:val="21"/>
                <w:vertAlign w:val="subscript"/>
              </w:rPr>
              <w:t>2</w:t>
            </w:r>
            <w:r>
              <w:rPr>
                <w:szCs w:val="21"/>
              </w:rPr>
              <w:t>O</w:t>
            </w:r>
            <w:r>
              <w:rPr>
                <w:szCs w:val="21"/>
                <w:vertAlign w:val="subscript"/>
              </w:rPr>
              <w:t>5</w:t>
            </w:r>
            <w:r>
              <w:rPr>
                <w:szCs w:val="21"/>
              </w:rPr>
              <w:t>计），单位为百分数（%）；</w:t>
            </w:r>
          </w:p>
          <w:p>
            <w:pPr>
              <w:autoSpaceDE w:val="0"/>
              <w:autoSpaceDN w:val="0"/>
              <w:adjustRightInd w:val="0"/>
              <w:rPr>
                <w:szCs w:val="21"/>
              </w:rPr>
            </w:pPr>
            <w:r>
              <w:rPr>
                <w:i/>
                <w:iCs/>
                <w:szCs w:val="21"/>
              </w:rPr>
              <w:t>ρ</w:t>
            </w:r>
            <w:r>
              <w:rPr>
                <w:szCs w:val="21"/>
              </w:rPr>
              <w:t>—试样溶液中磷元素质量浓度，单位为微克每升（μg/L）；</w:t>
            </w:r>
          </w:p>
          <w:p>
            <w:pPr>
              <w:autoSpaceDE w:val="0"/>
              <w:autoSpaceDN w:val="0"/>
              <w:adjustRightInd w:val="0"/>
              <w:rPr>
                <w:szCs w:val="21"/>
              </w:rPr>
            </w:pPr>
            <w:r>
              <w:rPr>
                <w:i/>
                <w:iCs/>
                <w:szCs w:val="21"/>
              </w:rPr>
              <w:t>ρ</w:t>
            </w:r>
            <w:r>
              <w:rPr>
                <w:szCs w:val="21"/>
                <w:vertAlign w:val="subscript"/>
              </w:rPr>
              <w:t>0</w:t>
            </w:r>
            <w:r>
              <w:rPr>
                <w:szCs w:val="21"/>
              </w:rPr>
              <w:t>—试样空白液中磷元素质量浓度，单位为微克每升（μg/L）；</w:t>
            </w:r>
          </w:p>
          <w:p>
            <w:pPr>
              <w:autoSpaceDE w:val="0"/>
              <w:autoSpaceDN w:val="0"/>
              <w:adjustRightInd w:val="0"/>
              <w:rPr>
                <w:szCs w:val="21"/>
              </w:rPr>
            </w:pPr>
            <w:r>
              <w:rPr>
                <w:i/>
                <w:iCs/>
                <w:szCs w:val="21"/>
              </w:rPr>
              <w:t>V</w:t>
            </w:r>
            <w:r>
              <w:rPr>
                <w:szCs w:val="21"/>
              </w:rPr>
              <w:t>—试样消化液定容体积，单位为毫升（mL）；</w:t>
            </w:r>
          </w:p>
          <w:p>
            <w:pPr>
              <w:autoSpaceDE w:val="0"/>
              <w:autoSpaceDN w:val="0"/>
              <w:adjustRightInd w:val="0"/>
              <w:rPr>
                <w:szCs w:val="21"/>
              </w:rPr>
            </w:pPr>
            <w:r>
              <w:rPr>
                <w:szCs w:val="21"/>
              </w:rPr>
              <w:t>2.2913—磷质量换算为五氧化二磷质量的系数；</w:t>
            </w:r>
          </w:p>
          <w:p>
            <w:pPr>
              <w:autoSpaceDE w:val="0"/>
              <w:autoSpaceDN w:val="0"/>
              <w:adjustRightInd w:val="0"/>
              <w:rPr>
                <w:szCs w:val="21"/>
              </w:rPr>
            </w:pPr>
            <w:r>
              <w:rPr>
                <w:szCs w:val="21"/>
              </w:rPr>
              <w:t>0.0001—毫克每千克（mg/kg）转化为百分数（%）的系数；</w:t>
            </w:r>
          </w:p>
          <w:p>
            <w:pPr>
              <w:autoSpaceDE w:val="0"/>
              <w:autoSpaceDN w:val="0"/>
              <w:adjustRightInd w:val="0"/>
              <w:rPr>
                <w:szCs w:val="21"/>
              </w:rPr>
            </w:pPr>
            <w:r>
              <w:rPr>
                <w:szCs w:val="21"/>
              </w:rPr>
              <w:t>1000—毫升（mL）转化为升（L）的系数；</w:t>
            </w:r>
          </w:p>
          <w:p>
            <w:pPr>
              <w:autoSpaceDE w:val="0"/>
              <w:autoSpaceDN w:val="0"/>
              <w:adjustRightInd w:val="0"/>
              <w:rPr>
                <w:szCs w:val="21"/>
              </w:rPr>
            </w:pPr>
            <w:r>
              <w:rPr>
                <w:i/>
                <w:iCs/>
                <w:szCs w:val="21"/>
              </w:rPr>
              <w:t>f</w:t>
            </w:r>
            <w:r>
              <w:rPr>
                <w:szCs w:val="21"/>
              </w:rPr>
              <w:t>—试样稀释倍数；</w:t>
            </w:r>
          </w:p>
          <w:p>
            <w:pPr>
              <w:autoSpaceDE w:val="0"/>
              <w:autoSpaceDN w:val="0"/>
              <w:adjustRightInd w:val="0"/>
              <w:rPr>
                <w:szCs w:val="21"/>
              </w:rPr>
            </w:pPr>
            <w:r>
              <w:rPr>
                <w:i/>
                <w:iCs/>
                <w:szCs w:val="21"/>
              </w:rPr>
              <w:t>m</w:t>
            </w:r>
            <w:r>
              <w:rPr>
                <w:szCs w:val="21"/>
              </w:rPr>
              <w:t>—试样称取质量，单位为克（g）</w:t>
            </w:r>
            <w:r>
              <w:rPr>
                <w:rFonts w:hint="eastAsia"/>
                <w:szCs w:val="21"/>
              </w:rPr>
              <w:t>。</w:t>
            </w:r>
          </w:p>
          <w:p>
            <w:pPr>
              <w:autoSpaceDE w:val="0"/>
              <w:autoSpaceDN w:val="0"/>
              <w:adjustRightIn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5" w:type="dxa"/>
            <w:gridSpan w:val="4"/>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left"/>
              <w:textAlignment w:val="baseline"/>
              <w:rPr>
                <w:szCs w:val="21"/>
              </w:rPr>
            </w:pPr>
            <w:r>
              <w:rPr>
                <w:szCs w:val="21"/>
              </w:rPr>
              <w:t>计算公式：X（%）=</w:t>
            </w:r>
            <w:r>
              <w:rPr>
                <w:position w:val="-24"/>
                <w:szCs w:val="21"/>
              </w:rPr>
              <w:object>
                <v:shape id="_x0000_i1027" o:spt="75" type="#_x0000_t75" style="height:31.2pt;width:168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r>
    </w:tbl>
    <w:p>
      <w:pPr>
        <w:widowControl/>
        <w:overflowPunct w:val="0"/>
        <w:autoSpaceDE w:val="0"/>
        <w:autoSpaceDN w:val="0"/>
        <w:adjustRightInd w:val="0"/>
        <w:spacing w:before="240" w:after="40"/>
        <w:textAlignment w:val="baseline"/>
        <w:rPr>
          <w:szCs w:val="21"/>
        </w:rPr>
      </w:pPr>
      <w:r>
        <w:rPr>
          <w:szCs w:val="21"/>
        </w:rPr>
        <w:t>4.2 GB/T 13173-2021中磷钼蓝比色法的试验数据</w:t>
      </w:r>
    </w:p>
    <w:p>
      <w:pPr>
        <w:spacing w:before="240"/>
        <w:jc w:val="center"/>
        <w:rPr>
          <w:kern w:val="0"/>
          <w:szCs w:val="21"/>
        </w:rPr>
      </w:pPr>
      <w:r>
        <w:rPr>
          <w:rFonts w:hint="eastAsia"/>
          <w:kern w:val="0"/>
          <w:szCs w:val="21"/>
        </w:rPr>
        <w:t>表</w:t>
      </w:r>
      <w:r>
        <w:rPr>
          <w:kern w:val="0"/>
          <w:szCs w:val="21"/>
        </w:rPr>
        <w:t xml:space="preserve">3  </w:t>
      </w:r>
      <w:r>
        <w:rPr>
          <w:szCs w:val="21"/>
        </w:rPr>
        <w:t>磷钼蓝比色</w:t>
      </w:r>
      <w:r>
        <w:rPr>
          <w:rFonts w:hint="eastAsia"/>
          <w:szCs w:val="21"/>
        </w:rPr>
        <w:t>法测试数据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2121"/>
        <w:gridCol w:w="1842"/>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样品编号</w:t>
            </w:r>
          </w:p>
        </w:tc>
        <w:tc>
          <w:tcPr>
            <w:tcW w:w="2121"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试剂净含量m</w:t>
            </w:r>
            <w:r>
              <w:rPr>
                <w:rFonts w:hint="eastAsia"/>
                <w:szCs w:val="21"/>
              </w:rPr>
              <w:t>（</w:t>
            </w:r>
            <w:r>
              <w:rPr>
                <w:szCs w:val="21"/>
              </w:rPr>
              <w:t>μg</w:t>
            </w:r>
            <w:r>
              <w:rPr>
                <w:rFonts w:hint="eastAsia"/>
                <w:szCs w:val="21"/>
              </w:rPr>
              <w:t>）</w:t>
            </w:r>
          </w:p>
        </w:tc>
        <w:tc>
          <w:tcPr>
            <w:tcW w:w="1842"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样品质量m</w:t>
            </w:r>
            <w:r>
              <w:rPr>
                <w:szCs w:val="21"/>
                <w:vertAlign w:val="subscript"/>
              </w:rPr>
              <w:t>0</w:t>
            </w:r>
            <w:r>
              <w:rPr>
                <w:rFonts w:hint="eastAsia"/>
                <w:szCs w:val="21"/>
              </w:rPr>
              <w:t>（</w:t>
            </w:r>
            <w:r>
              <w:rPr>
                <w:szCs w:val="21"/>
              </w:rPr>
              <w:t>g</w:t>
            </w:r>
            <w:r>
              <w:rPr>
                <w:rFonts w:hint="eastAsia"/>
                <w:szCs w:val="21"/>
              </w:rPr>
              <w:t>）</w:t>
            </w:r>
          </w:p>
        </w:tc>
        <w:tc>
          <w:tcPr>
            <w:tcW w:w="3961"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textAlignment w:val="baseline"/>
              <w:rPr>
                <w:szCs w:val="21"/>
              </w:rPr>
            </w:pPr>
            <w:r>
              <w:rPr>
                <w:szCs w:val="21"/>
              </w:rPr>
              <w:t>磷钼蓝比色法的五氧化二磷含量X</w:t>
            </w:r>
            <w:r>
              <w:rPr>
                <w:rFonts w:hint="eastAsia"/>
                <w:sz w:val="22"/>
                <w:szCs w:val="22"/>
              </w:rPr>
              <w:t>（</w:t>
            </w:r>
            <w:r>
              <w:rPr>
                <w:sz w:val="22"/>
                <w:szCs w:val="22"/>
              </w:rPr>
              <w:t>%</w:t>
            </w: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7</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55</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1.1052</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8</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40</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0.7852</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9</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46</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0.9178</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10</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51</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1.0209</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11</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44</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0.9058</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35" w:type="dxa"/>
            <w:tcBorders>
              <w:top w:val="single" w:color="auto" w:sz="4" w:space="0"/>
              <w:left w:val="single" w:color="auto" w:sz="4" w:space="0"/>
              <w:bottom w:val="single" w:color="auto" w:sz="4" w:space="0"/>
              <w:right w:val="single" w:color="auto" w:sz="4" w:space="0"/>
            </w:tcBorders>
            <w:vAlign w:val="center"/>
          </w:tcPr>
          <w:p>
            <w:pPr>
              <w:widowControl/>
              <w:overflowPunct w:val="0"/>
              <w:autoSpaceDE w:val="0"/>
              <w:autoSpaceDN w:val="0"/>
              <w:adjustRightInd w:val="0"/>
              <w:spacing w:after="40"/>
              <w:jc w:val="center"/>
              <w:textAlignment w:val="baseline"/>
              <w:rPr>
                <w:szCs w:val="21"/>
              </w:rPr>
            </w:pPr>
            <w:r>
              <w:rPr>
                <w:szCs w:val="21"/>
              </w:rPr>
              <w:t>12</w:t>
            </w:r>
          </w:p>
        </w:tc>
        <w:tc>
          <w:tcPr>
            <w:tcW w:w="212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47</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1.0258</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0.092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098" w:type="dxa"/>
            <w:gridSpan w:val="3"/>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Cs w:val="21"/>
              </w:rPr>
              <w:t>五氧化二磷的含量</w:t>
            </w:r>
            <w:r>
              <w:rPr>
                <w:sz w:val="22"/>
                <w:szCs w:val="22"/>
              </w:rPr>
              <w:t>平均值</w:t>
            </w:r>
            <w:r>
              <w:rPr>
                <w:rFonts w:hint="eastAsia"/>
                <w:sz w:val="22"/>
                <w:szCs w:val="22"/>
              </w:rPr>
              <w:t>（</w:t>
            </w:r>
            <w:r>
              <w:rPr>
                <w:sz w:val="22"/>
                <w:szCs w:val="22"/>
              </w:rPr>
              <w:t>%</w:t>
            </w:r>
            <w:r>
              <w:rPr>
                <w:rFonts w:hint="eastAsia"/>
                <w:sz w:val="22"/>
                <w:szCs w:val="22"/>
              </w:rPr>
              <w:t>）</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5098" w:type="dxa"/>
            <w:gridSpan w:val="3"/>
            <w:tcBorders>
              <w:top w:val="single" w:color="auto" w:sz="4" w:space="0"/>
              <w:left w:val="single" w:color="auto" w:sz="4" w:space="0"/>
              <w:bottom w:val="single" w:color="auto" w:sz="4" w:space="0"/>
              <w:right w:val="single" w:color="auto" w:sz="4" w:space="0"/>
            </w:tcBorders>
            <w:vAlign w:val="center"/>
          </w:tcPr>
          <w:p>
            <w:pPr>
              <w:jc w:val="center"/>
              <w:rPr>
                <w:sz w:val="22"/>
                <w:szCs w:val="22"/>
              </w:rPr>
            </w:pPr>
            <w:r>
              <w:rPr>
                <w:sz w:val="22"/>
                <w:szCs w:val="22"/>
              </w:rPr>
              <w:t>相对标准偏差（RSD）</w:t>
            </w:r>
            <w:r>
              <w:rPr>
                <w:rFonts w:hint="eastAsia"/>
                <w:sz w:val="22"/>
                <w:szCs w:val="22"/>
              </w:rPr>
              <w:t>（</w:t>
            </w:r>
            <w:r>
              <w:rPr>
                <w:sz w:val="22"/>
                <w:szCs w:val="22"/>
              </w:rPr>
              <w:t>%</w:t>
            </w:r>
            <w:r>
              <w:rPr>
                <w:rFonts w:hint="eastAsia"/>
                <w:sz w:val="22"/>
                <w:szCs w:val="22"/>
              </w:rPr>
              <w:t>）</w:t>
            </w:r>
          </w:p>
        </w:tc>
        <w:tc>
          <w:tcPr>
            <w:tcW w:w="3961"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9" w:type="dxa"/>
            <w:gridSpan w:val="4"/>
            <w:tcBorders>
              <w:top w:val="single" w:color="auto" w:sz="4" w:space="0"/>
              <w:left w:val="single" w:color="auto" w:sz="4" w:space="0"/>
              <w:bottom w:val="single" w:color="auto" w:sz="4" w:space="0"/>
              <w:right w:val="single" w:color="auto" w:sz="4" w:space="0"/>
            </w:tcBorders>
          </w:tcPr>
          <w:p>
            <w:pPr>
              <w:autoSpaceDE w:val="0"/>
              <w:autoSpaceDN w:val="0"/>
              <w:adjustRightInd w:val="0"/>
              <w:rPr>
                <w:szCs w:val="21"/>
              </w:rPr>
            </w:pPr>
            <w:r>
              <w:rPr>
                <w:szCs w:val="21"/>
              </w:rPr>
              <w:t>X—试样中五氧化二磷的质量分数，单位为百分数（%）；</w:t>
            </w:r>
          </w:p>
          <w:p>
            <w:pPr>
              <w:autoSpaceDE w:val="0"/>
              <w:autoSpaceDN w:val="0"/>
              <w:adjustRightInd w:val="0"/>
              <w:rPr>
                <w:szCs w:val="21"/>
              </w:rPr>
            </w:pPr>
            <w:r>
              <w:rPr>
                <w:szCs w:val="21"/>
              </w:rPr>
              <w:t>m—与试样溶液净吸光度相当的五氧化二磷质量，单位为微克（μg）；</w:t>
            </w:r>
          </w:p>
          <w:p>
            <w:pPr>
              <w:autoSpaceDE w:val="0"/>
              <w:autoSpaceDN w:val="0"/>
              <w:adjustRightInd w:val="0"/>
              <w:rPr>
                <w:szCs w:val="21"/>
              </w:rPr>
            </w:pPr>
            <w:r>
              <w:rPr>
                <w:szCs w:val="21"/>
              </w:rPr>
              <w:t>m</w:t>
            </w:r>
            <w:r>
              <w:rPr>
                <w:szCs w:val="21"/>
                <w:vertAlign w:val="subscript"/>
              </w:rPr>
              <w:t>0</w:t>
            </w:r>
            <w:r>
              <w:rPr>
                <w:szCs w:val="21"/>
              </w:rPr>
              <w:t>—试样的质量，单位为克（g）；</w:t>
            </w:r>
          </w:p>
          <w:p>
            <w:pPr>
              <w:autoSpaceDE w:val="0"/>
              <w:autoSpaceDN w:val="0"/>
              <w:adjustRightInd w:val="0"/>
              <w:rPr>
                <w:szCs w:val="21"/>
              </w:rPr>
            </w:pPr>
            <w:r>
              <w:rPr>
                <w:szCs w:val="21"/>
              </w:rPr>
              <w:t>500—定容体积，单位为毫升（mL）；</w:t>
            </w:r>
          </w:p>
          <w:p>
            <w:pPr>
              <w:autoSpaceDE w:val="0"/>
              <w:autoSpaceDN w:val="0"/>
              <w:adjustRightInd w:val="0"/>
              <w:rPr>
                <w:szCs w:val="21"/>
              </w:rPr>
            </w:pPr>
            <w:r>
              <w:rPr>
                <w:szCs w:val="21"/>
              </w:rPr>
              <w:t>25—取样体积，单位为毫升（mL）；</w:t>
            </w:r>
          </w:p>
          <w:p>
            <w:pPr>
              <w:autoSpaceDE w:val="0"/>
              <w:autoSpaceDN w:val="0"/>
              <w:adjustRightIn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59" w:type="dxa"/>
            <w:gridSpan w:val="4"/>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40"/>
              <w:jc w:val="left"/>
              <w:textAlignment w:val="baseline"/>
              <w:rPr>
                <w:szCs w:val="21"/>
              </w:rPr>
            </w:pPr>
            <w:r>
              <w:rPr>
                <w:szCs w:val="21"/>
              </w:rPr>
              <w:t>计算公式：X（%）=</w:t>
            </w:r>
            <m:oMath>
              <m:f>
                <m:fPr>
                  <m:ctrlPr>
                    <w:rPr>
                      <w:rFonts w:ascii="Cambria Math" w:hAnsi="Cambria Math"/>
                      <w:i/>
                      <w:szCs w:val="21"/>
                    </w:rPr>
                  </m:ctrlPr>
                </m:fPr>
                <m:num>
                  <m:r>
                    <m:rPr/>
                    <w:rPr>
                      <w:rFonts w:ascii="Cambria Math" w:hAnsi="Cambria Math"/>
                      <w:szCs w:val="21"/>
                    </w:rPr>
                    <m:t>m</m:t>
                  </m:r>
                  <m:ctrlPr>
                    <w:rPr>
                      <w:rFonts w:ascii="Cambria Math" w:hAnsi="Cambria Math"/>
                      <w:i/>
                      <w:szCs w:val="21"/>
                    </w:rPr>
                  </m:ctrlPr>
                </m:num>
                <m:den>
                  <m:sSub>
                    <m:sSubPr>
                      <m:ctrlPr>
                        <w:rPr>
                          <w:rFonts w:ascii="Cambria Math" w:hAnsi="Cambria Math"/>
                          <w:i/>
                          <w:szCs w:val="21"/>
                        </w:rPr>
                      </m:ctrlPr>
                    </m:sSubPr>
                    <m:e>
                      <m:r>
                        <m:rPr/>
                        <w:rPr>
                          <w:rFonts w:ascii="Cambria Math" w:hAnsi="Cambria Math"/>
                          <w:szCs w:val="21"/>
                        </w:rPr>
                        <m:t>m</m:t>
                      </m:r>
                      <m:ctrlPr>
                        <w:rPr>
                          <w:rFonts w:ascii="Cambria Math" w:hAnsi="Cambria Math"/>
                          <w:i/>
                          <w:szCs w:val="21"/>
                        </w:rPr>
                      </m:ctrlPr>
                    </m:e>
                    <m:sub>
                      <m:r>
                        <m:rPr/>
                        <w:rPr>
                          <w:rFonts w:ascii="Cambria Math" w:hAnsi="Cambria Math"/>
                          <w:szCs w:val="21"/>
                        </w:rPr>
                        <m:t>0</m:t>
                      </m:r>
                      <m:ctrlPr>
                        <w:rPr>
                          <w:rFonts w:ascii="Cambria Math" w:hAnsi="Cambria Math"/>
                          <w:i/>
                          <w:szCs w:val="21"/>
                        </w:rPr>
                      </m:ctrlPr>
                    </m:sub>
                  </m:sSub>
                  <m:ctrlPr>
                    <w:rPr>
                      <w:rFonts w:ascii="Cambria Math" w:hAnsi="Cambria Math"/>
                      <w:i/>
                      <w:szCs w:val="21"/>
                    </w:rPr>
                  </m:ctrlPr>
                </m:den>
              </m:f>
              <m:r>
                <m:rPr/>
                <w:rPr>
                  <w:rFonts w:ascii="Cambria Math" w:hAnsi="Cambria Math"/>
                  <w:sz w:val="28"/>
                  <w:szCs w:val="28"/>
                </w:rPr>
                <m:t>×</m:t>
              </m:r>
              <m:f>
                <m:fPr>
                  <m:ctrlPr>
                    <w:rPr>
                      <w:rFonts w:ascii="Cambria Math" w:hAnsi="Cambria Math"/>
                      <w:i/>
                      <w:sz w:val="28"/>
                      <w:szCs w:val="28"/>
                    </w:rPr>
                  </m:ctrlPr>
                </m:fPr>
                <m:num>
                  <m:r>
                    <m:rPr/>
                    <w:rPr>
                      <w:rFonts w:ascii="Cambria Math" w:hAnsi="Cambria Math"/>
                      <w:sz w:val="28"/>
                      <w:szCs w:val="28"/>
                    </w:rPr>
                    <m:t>500</m:t>
                  </m:r>
                  <m:ctrlPr>
                    <w:rPr>
                      <w:rFonts w:ascii="Cambria Math" w:hAnsi="Cambria Math"/>
                      <w:i/>
                      <w:sz w:val="28"/>
                      <w:szCs w:val="28"/>
                    </w:rPr>
                  </m:ctrlPr>
                </m:num>
                <m:den>
                  <m:r>
                    <m:rPr/>
                    <w:rPr>
                      <w:rFonts w:ascii="Cambria Math" w:hAnsi="Cambria Math"/>
                      <w:sz w:val="28"/>
                      <w:szCs w:val="28"/>
                    </w:rPr>
                    <m:t>25</m:t>
                  </m:r>
                  <m:ctrlPr>
                    <w:rPr>
                      <w:rFonts w:ascii="Cambria Math" w:hAnsi="Cambria Math"/>
                      <w:i/>
                      <w:sz w:val="28"/>
                      <w:szCs w:val="28"/>
                    </w:rPr>
                  </m:ctrlPr>
                </m:den>
              </m:f>
              <m:r>
                <m:rPr/>
                <w:rPr>
                  <w:rFonts w:ascii="Cambria Math" w:hAnsi="Cambria Math"/>
                  <w:sz w:val="28"/>
                  <w:szCs w:val="28"/>
                </w:rPr>
                <m:t>×</m:t>
              </m:r>
            </m:oMath>
            <w:r>
              <w:rPr>
                <w:szCs w:val="21"/>
              </w:rPr>
              <w:t>10</w:t>
            </w:r>
            <w:r>
              <w:rPr>
                <w:szCs w:val="21"/>
                <w:vertAlign w:val="superscript"/>
              </w:rPr>
              <w:t>-4</w:t>
            </w:r>
          </w:p>
        </w:tc>
      </w:tr>
    </w:tbl>
    <w:p>
      <w:pPr>
        <w:spacing w:before="240"/>
        <w:rPr>
          <w:kern w:val="0"/>
          <w:szCs w:val="21"/>
        </w:rPr>
      </w:pPr>
      <w:r>
        <w:rPr>
          <w:szCs w:val="21"/>
        </w:rPr>
        <w:t>4.3 回收率的计算</w:t>
      </w:r>
    </w:p>
    <w:p>
      <w:pPr>
        <w:ind w:firstLine="420" w:firstLineChars="200"/>
        <w:rPr>
          <w:sz w:val="24"/>
        </w:rPr>
      </w:pPr>
      <w:r>
        <w:rPr>
          <w:kern w:val="0"/>
          <w:szCs w:val="21"/>
        </w:rPr>
        <w:t>回收率R</w:t>
      </w:r>
      <w:r>
        <w:rPr>
          <w:kern w:val="0"/>
          <w:sz w:val="24"/>
        </w:rPr>
        <w:t>=</w:t>
      </w:r>
      <m:oMath>
        <m:f>
          <m:fPr>
            <m:ctrlPr>
              <w:rPr>
                <w:rFonts w:ascii="Cambria Math" w:hAnsi="Cambria Math"/>
                <w:iCs/>
                <w:sz w:val="24"/>
              </w:rPr>
            </m:ctrlPr>
          </m:fPr>
          <m:num>
            <m:r>
              <m:rPr>
                <m:sty m:val="p"/>
              </m:rPr>
              <w:rPr>
                <w:rFonts w:ascii="Cambria Math" w:hAnsi="Cambria Math"/>
                <w:sz w:val="24"/>
              </w:rPr>
              <m:t>本项目的五氧化二磷含量</m:t>
            </m:r>
            <m:ctrlPr>
              <w:rPr>
                <w:rFonts w:ascii="Cambria Math" w:hAnsi="Cambria Math"/>
                <w:iCs/>
                <w:sz w:val="24"/>
              </w:rPr>
            </m:ctrlPr>
          </m:num>
          <m:den>
            <m:r>
              <m:rPr>
                <m:sty m:val="p"/>
              </m:rPr>
              <w:rPr>
                <w:rFonts w:ascii="Cambria Math" w:hAnsi="Cambria Math"/>
                <w:sz w:val="24"/>
              </w:rPr>
              <m:t>磷钼蓝比色法的五氧化二磷含量</m:t>
            </m:r>
            <m:ctrlPr>
              <w:rPr>
                <w:rFonts w:ascii="Cambria Math" w:hAnsi="Cambria Math"/>
                <w:iCs/>
                <w:sz w:val="24"/>
              </w:rPr>
            </m:ctrlPr>
          </m:den>
        </m:f>
        <m:r>
          <m:rPr/>
          <w:rPr>
            <w:rFonts w:ascii="Cambria Math" w:hAnsi="Cambria Math"/>
            <w:sz w:val="24"/>
          </w:rPr>
          <m:t>×</m:t>
        </m:r>
      </m:oMath>
      <w:r>
        <w:rPr>
          <w:szCs w:val="21"/>
        </w:rPr>
        <w:t>100%</w:t>
      </w:r>
      <w:r>
        <w:rPr>
          <w:sz w:val="24"/>
        </w:rPr>
        <w:t>=</w:t>
      </w:r>
      <m:oMath>
        <m:f>
          <m:fPr>
            <m:ctrlPr>
              <w:rPr>
                <w:rFonts w:ascii="Cambria Math" w:hAnsi="Cambria Math"/>
                <w:sz w:val="24"/>
              </w:rPr>
            </m:ctrlPr>
          </m:fPr>
          <m:num>
            <m:r>
              <m:rPr>
                <m:sty m:val="p"/>
              </m:rPr>
              <w:rPr>
                <w:rFonts w:ascii="Cambria Math" w:hAnsi="Cambria Math"/>
                <w:sz w:val="24"/>
              </w:rPr>
              <m:t>0.103</m:t>
            </m:r>
            <m:ctrlPr>
              <w:rPr>
                <w:rFonts w:ascii="Cambria Math" w:hAnsi="Cambria Math"/>
                <w:sz w:val="24"/>
              </w:rPr>
            </m:ctrlPr>
          </m:num>
          <m:den>
            <m:r>
              <m:rPr>
                <m:sty m:val="p"/>
              </m:rPr>
              <w:rPr>
                <w:rFonts w:ascii="Cambria Math" w:hAnsi="Cambria Math"/>
                <w:sz w:val="24"/>
              </w:rPr>
              <m:t>0.098</m:t>
            </m:r>
            <m:ctrlPr>
              <w:rPr>
                <w:rFonts w:ascii="Cambria Math" w:hAnsi="Cambria Math"/>
                <w:sz w:val="24"/>
              </w:rPr>
            </m:ctrlPr>
          </m:den>
        </m:f>
        <m:r>
          <m:rPr>
            <m:sty m:val="p"/>
          </m:rPr>
          <w:rPr>
            <w:rFonts w:ascii="Cambria Math" w:hAnsi="Cambria Math"/>
            <w:sz w:val="24"/>
          </w:rPr>
          <m:t>×</m:t>
        </m:r>
      </m:oMath>
      <w:r>
        <w:rPr>
          <w:szCs w:val="21"/>
        </w:rPr>
        <w:t>100%=105.10%</w:t>
      </w:r>
    </w:p>
    <w:p>
      <w:pPr>
        <w:ind w:firstLine="420" w:firstLineChars="200"/>
        <w:rPr>
          <w:szCs w:val="21"/>
        </w:rPr>
      </w:pPr>
      <w:r>
        <w:rPr>
          <w:rFonts w:hint="eastAsia"/>
          <w:szCs w:val="21"/>
        </w:rPr>
        <w:t>由表2、</w:t>
      </w:r>
      <w:r>
        <w:rPr>
          <w:szCs w:val="21"/>
        </w:rPr>
        <w:t>3</w:t>
      </w:r>
      <w:r>
        <w:rPr>
          <w:rFonts w:hint="eastAsia"/>
          <w:szCs w:val="21"/>
        </w:rPr>
        <w:t>可知，通过对比实验，</w:t>
      </w:r>
      <w:r>
        <w:rPr>
          <w:szCs w:val="21"/>
        </w:rPr>
        <w:t>GB/T 13173</w:t>
      </w:r>
      <w:r>
        <w:rPr>
          <w:rFonts w:hint="eastAsia"/>
          <w:szCs w:val="21"/>
        </w:rPr>
        <w:t>规定的测定方法（</w:t>
      </w:r>
      <w:r>
        <w:rPr>
          <w:szCs w:val="21"/>
        </w:rPr>
        <w:t>磷钼蓝</w:t>
      </w:r>
      <w:r>
        <w:rPr>
          <w:rFonts w:hint="eastAsia"/>
          <w:szCs w:val="21"/>
        </w:rPr>
        <w:t>比色法）和新建立的测定方法（</w:t>
      </w:r>
      <w:r>
        <w:rPr>
          <w:szCs w:val="21"/>
        </w:rPr>
        <w:t>ICP-MS</w:t>
      </w:r>
      <w:r>
        <w:rPr>
          <w:rFonts w:hint="eastAsia"/>
          <w:szCs w:val="21"/>
        </w:rPr>
        <w:t>法）测定洗涤剂中</w:t>
      </w:r>
      <w:r>
        <w:rPr>
          <w:szCs w:val="21"/>
        </w:rPr>
        <w:t>磷（以P</w:t>
      </w:r>
      <w:r>
        <w:rPr>
          <w:szCs w:val="21"/>
          <w:vertAlign w:val="subscript"/>
        </w:rPr>
        <w:t>2</w:t>
      </w:r>
      <w:r>
        <w:rPr>
          <w:szCs w:val="21"/>
        </w:rPr>
        <w:t>O</w:t>
      </w:r>
      <w:r>
        <w:rPr>
          <w:szCs w:val="21"/>
          <w:vertAlign w:val="subscript"/>
        </w:rPr>
        <w:t>5</w:t>
      </w:r>
      <w:r>
        <w:rPr>
          <w:szCs w:val="21"/>
        </w:rPr>
        <w:t>计）含量</w:t>
      </w:r>
      <w:r>
        <w:rPr>
          <w:rFonts w:hint="eastAsia"/>
          <w:szCs w:val="21"/>
        </w:rPr>
        <w:t>数据很接近，二者之间的相对偏差为5%，对于</w:t>
      </w:r>
      <w:r>
        <w:rPr>
          <w:kern w:val="0"/>
          <w:szCs w:val="21"/>
        </w:rPr>
        <w:t>无磷、低磷的洗涤剂产品</w:t>
      </w:r>
      <w:r>
        <w:rPr>
          <w:rFonts w:hint="eastAsia"/>
          <w:kern w:val="0"/>
          <w:szCs w:val="21"/>
        </w:rPr>
        <w:t>磷含量</w:t>
      </w:r>
      <w:r>
        <w:rPr>
          <w:rFonts w:hint="eastAsia"/>
          <w:szCs w:val="21"/>
        </w:rPr>
        <w:t>分析，这种偏差相对较低。</w:t>
      </w:r>
    </w:p>
    <w:p>
      <w:pPr>
        <w:spacing w:before="240"/>
        <w:rPr>
          <w:kern w:val="0"/>
          <w:szCs w:val="21"/>
        </w:rPr>
      </w:pPr>
      <w:r>
        <w:rPr>
          <w:kern w:val="0"/>
          <w:szCs w:val="21"/>
        </w:rPr>
        <w:t xml:space="preserve">4.4 </w:t>
      </w:r>
      <w:r>
        <w:rPr>
          <w:rFonts w:hint="eastAsia"/>
          <w:kern w:val="0"/>
          <w:szCs w:val="21"/>
        </w:rPr>
        <w:t>加标回收率</w:t>
      </w:r>
      <w:r>
        <w:rPr>
          <w:kern w:val="0"/>
          <w:szCs w:val="21"/>
        </w:rPr>
        <w:t>试验数据</w:t>
      </w:r>
    </w:p>
    <w:p>
      <w:pPr>
        <w:ind w:firstLine="420" w:firstLineChars="200"/>
        <w:rPr>
          <w:kern w:val="0"/>
          <w:szCs w:val="21"/>
        </w:rPr>
      </w:pPr>
      <w:r>
        <w:rPr>
          <w:rFonts w:hint="eastAsia"/>
          <w:kern w:val="0"/>
          <w:szCs w:val="21"/>
        </w:rPr>
        <w:t>精确称取</w:t>
      </w:r>
      <w:r>
        <w:rPr>
          <w:rFonts w:hint="eastAsia"/>
          <w:szCs w:val="21"/>
        </w:rPr>
        <w:t>六偏磷酸钠</w:t>
      </w:r>
      <w:r>
        <w:rPr>
          <w:szCs w:val="21"/>
        </w:rPr>
        <w:t xml:space="preserve"> (NaPO</w:t>
      </w:r>
      <w:r>
        <w:rPr>
          <w:szCs w:val="21"/>
          <w:vertAlign w:val="subscript"/>
        </w:rPr>
        <w:t>3</w:t>
      </w:r>
      <w:r>
        <w:rPr>
          <w:rFonts w:hint="eastAsia"/>
          <w:szCs w:val="21"/>
        </w:rPr>
        <w:t>)</w:t>
      </w:r>
      <w:r>
        <w:rPr>
          <w:rFonts w:hint="eastAsia"/>
          <w:szCs w:val="21"/>
          <w:vertAlign w:val="subscript"/>
        </w:rPr>
        <w:t>6</w:t>
      </w:r>
      <w:r>
        <w:rPr>
          <w:rFonts w:hint="eastAsia"/>
          <w:szCs w:val="21"/>
        </w:rPr>
        <w:t>不同质量</w:t>
      </w:r>
      <w:r>
        <w:rPr>
          <w:rFonts w:hint="eastAsia"/>
          <w:kern w:val="0"/>
          <w:szCs w:val="21"/>
        </w:rPr>
        <w:t>，</w:t>
      </w:r>
      <w:r>
        <w:rPr>
          <w:rFonts w:hint="eastAsia"/>
          <w:szCs w:val="21"/>
        </w:rPr>
        <w:t>溶解定容到5</w:t>
      </w:r>
      <w:r>
        <w:rPr>
          <w:szCs w:val="21"/>
        </w:rPr>
        <w:t>00 mL</w:t>
      </w:r>
      <w:r>
        <w:rPr>
          <w:rFonts w:hint="eastAsia"/>
          <w:szCs w:val="21"/>
        </w:rPr>
        <w:t>容量瓶，</w:t>
      </w:r>
      <w:r>
        <w:rPr>
          <w:rFonts w:hint="eastAsia"/>
          <w:kern w:val="0"/>
          <w:szCs w:val="21"/>
        </w:rPr>
        <w:t>制备不同浓度的磷标准储备液（具体见理论加标值），按照本方法进行测定并定量计算，回收率结果见表</w:t>
      </w:r>
      <w:r>
        <w:rPr>
          <w:kern w:val="0"/>
          <w:szCs w:val="21"/>
        </w:rPr>
        <w:t>4</w:t>
      </w:r>
      <w:r>
        <w:rPr>
          <w:rFonts w:hint="eastAsia"/>
          <w:kern w:val="0"/>
          <w:szCs w:val="21"/>
        </w:rPr>
        <w:t>。</w:t>
      </w:r>
    </w:p>
    <w:p>
      <w:pPr>
        <w:jc w:val="center"/>
        <w:rPr>
          <w:kern w:val="0"/>
          <w:szCs w:val="21"/>
        </w:rPr>
      </w:pPr>
    </w:p>
    <w:p>
      <w:pPr>
        <w:jc w:val="center"/>
        <w:rPr>
          <w:kern w:val="0"/>
          <w:szCs w:val="21"/>
        </w:rPr>
      </w:pPr>
    </w:p>
    <w:p>
      <w:pPr>
        <w:jc w:val="center"/>
        <w:rPr>
          <w:kern w:val="0"/>
          <w:szCs w:val="21"/>
        </w:rPr>
      </w:pPr>
    </w:p>
    <w:p>
      <w:pPr>
        <w:jc w:val="center"/>
        <w:rPr>
          <w:kern w:val="0"/>
          <w:szCs w:val="21"/>
        </w:rPr>
      </w:pPr>
      <w:r>
        <w:rPr>
          <w:rFonts w:hint="eastAsia"/>
          <w:kern w:val="0"/>
          <w:szCs w:val="21"/>
        </w:rPr>
        <w:t>表</w:t>
      </w:r>
      <w:r>
        <w:rPr>
          <w:kern w:val="0"/>
          <w:szCs w:val="21"/>
        </w:rPr>
        <w:t xml:space="preserve">4 </w:t>
      </w:r>
      <w:r>
        <w:rPr>
          <w:rFonts w:hint="eastAsia"/>
          <w:kern w:val="0"/>
          <w:szCs w:val="21"/>
        </w:rPr>
        <w:t>样品回收率实验结果</w:t>
      </w:r>
    </w:p>
    <w:tbl>
      <w:tblPr>
        <w:tblStyle w:val="16"/>
        <w:tblW w:w="9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4"/>
        <w:gridCol w:w="1282"/>
        <w:gridCol w:w="1559"/>
        <w:gridCol w:w="1270"/>
        <w:gridCol w:w="1985"/>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564" w:type="dxa"/>
            <w:vMerge w:val="restart"/>
            <w:vAlign w:val="center"/>
          </w:tcPr>
          <w:p>
            <w:pPr>
              <w:jc w:val="center"/>
              <w:rPr>
                <w:szCs w:val="21"/>
              </w:rPr>
            </w:pPr>
            <w:r>
              <w:rPr>
                <w:rFonts w:hint="eastAsia"/>
                <w:szCs w:val="21"/>
              </w:rPr>
              <w:t>样品</w:t>
            </w:r>
          </w:p>
        </w:tc>
        <w:tc>
          <w:tcPr>
            <w:tcW w:w="1282" w:type="dxa"/>
            <w:vMerge w:val="restart"/>
            <w:vAlign w:val="center"/>
          </w:tcPr>
          <w:p>
            <w:pPr>
              <w:jc w:val="center"/>
              <w:rPr>
                <w:szCs w:val="21"/>
              </w:rPr>
            </w:pPr>
            <w:r>
              <w:rPr>
                <w:rFonts w:hint="eastAsia"/>
                <w:szCs w:val="21"/>
              </w:rPr>
              <w:t>理论加标值</w:t>
            </w:r>
            <w:r>
              <w:rPr>
                <w:rFonts w:hint="eastAsia"/>
                <w:sz w:val="22"/>
                <w:szCs w:val="22"/>
              </w:rPr>
              <w:t>（</w:t>
            </w:r>
            <w:r>
              <w:rPr>
                <w:sz w:val="22"/>
                <w:szCs w:val="22"/>
              </w:rPr>
              <w:t>%</w:t>
            </w:r>
            <w:r>
              <w:rPr>
                <w:rFonts w:hint="eastAsia"/>
                <w:sz w:val="22"/>
                <w:szCs w:val="22"/>
              </w:rPr>
              <w:t>）</w:t>
            </w:r>
          </w:p>
        </w:tc>
        <w:tc>
          <w:tcPr>
            <w:tcW w:w="1559" w:type="dxa"/>
            <w:vMerge w:val="restart"/>
            <w:vAlign w:val="center"/>
          </w:tcPr>
          <w:p>
            <w:pPr>
              <w:jc w:val="center"/>
              <w:rPr>
                <w:szCs w:val="21"/>
              </w:rPr>
            </w:pPr>
            <w:r>
              <w:rPr>
                <w:rFonts w:hint="eastAsia"/>
                <w:szCs w:val="21"/>
              </w:rPr>
              <w:t>磷钼蓝比色法测试值</w:t>
            </w:r>
            <w:r>
              <w:rPr>
                <w:rFonts w:hint="eastAsia"/>
                <w:sz w:val="22"/>
                <w:szCs w:val="22"/>
              </w:rPr>
              <w:t>（</w:t>
            </w:r>
            <w:r>
              <w:rPr>
                <w:sz w:val="22"/>
                <w:szCs w:val="22"/>
              </w:rPr>
              <w:t>%</w:t>
            </w:r>
            <w:r>
              <w:rPr>
                <w:rFonts w:hint="eastAsia"/>
                <w:sz w:val="22"/>
                <w:szCs w:val="22"/>
              </w:rPr>
              <w:t>）</w:t>
            </w:r>
          </w:p>
        </w:tc>
        <w:tc>
          <w:tcPr>
            <w:tcW w:w="4979" w:type="dxa"/>
            <w:gridSpan w:val="3"/>
            <w:vAlign w:val="center"/>
          </w:tcPr>
          <w:p>
            <w:pPr>
              <w:jc w:val="center"/>
              <w:rPr>
                <w:szCs w:val="21"/>
              </w:rPr>
            </w:pPr>
            <w:r>
              <w:rPr>
                <w:szCs w:val="21"/>
              </w:rPr>
              <w:t>ICP-MS</w:t>
            </w:r>
            <w:r>
              <w:rPr>
                <w:rFonts w:hint="eastAsia"/>
                <w:szCs w:val="21"/>
              </w:rPr>
              <w:t>测试值</w:t>
            </w:r>
            <w:r>
              <w:rPr>
                <w:rFonts w:hint="eastAsia"/>
                <w:sz w:val="22"/>
                <w:szCs w:val="22"/>
              </w:rPr>
              <w:t>（</w:t>
            </w:r>
            <w:r>
              <w:rPr>
                <w:sz w:val="22"/>
                <w:szCs w:val="22"/>
              </w:rPr>
              <w:t>%</w:t>
            </w: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64" w:type="dxa"/>
            <w:vMerge w:val="continue"/>
            <w:vAlign w:val="center"/>
          </w:tcPr>
          <w:p>
            <w:pPr>
              <w:jc w:val="center"/>
              <w:rPr>
                <w:szCs w:val="21"/>
              </w:rPr>
            </w:pPr>
          </w:p>
        </w:tc>
        <w:tc>
          <w:tcPr>
            <w:tcW w:w="1282" w:type="dxa"/>
            <w:vMerge w:val="continue"/>
            <w:vAlign w:val="center"/>
          </w:tcPr>
          <w:p>
            <w:pPr>
              <w:jc w:val="center"/>
              <w:rPr>
                <w:szCs w:val="21"/>
              </w:rPr>
            </w:pPr>
          </w:p>
        </w:tc>
        <w:tc>
          <w:tcPr>
            <w:tcW w:w="1559" w:type="dxa"/>
            <w:vMerge w:val="continue"/>
            <w:vAlign w:val="center"/>
          </w:tcPr>
          <w:p>
            <w:pPr>
              <w:jc w:val="center"/>
              <w:rPr>
                <w:szCs w:val="21"/>
              </w:rPr>
            </w:pPr>
          </w:p>
        </w:tc>
        <w:tc>
          <w:tcPr>
            <w:tcW w:w="1270" w:type="dxa"/>
            <w:vAlign w:val="center"/>
          </w:tcPr>
          <w:p>
            <w:pPr>
              <w:jc w:val="center"/>
              <w:rPr>
                <w:szCs w:val="21"/>
              </w:rPr>
            </w:pPr>
            <w:r>
              <w:rPr>
                <w:rFonts w:hint="eastAsia"/>
                <w:szCs w:val="21"/>
              </w:rPr>
              <w:t>广</w:t>
            </w:r>
            <w:r>
              <w:rPr>
                <w:rFonts w:hint="eastAsia"/>
                <w:strike/>
                <w:dstrike w:val="0"/>
                <w:color w:val="0070C0"/>
                <w:szCs w:val="21"/>
              </w:rPr>
              <w:t>州</w:t>
            </w:r>
            <w:r>
              <w:rPr>
                <w:rFonts w:hint="eastAsia"/>
                <w:strike w:val="0"/>
                <w:dstrike w:val="0"/>
                <w:color w:val="FF0000"/>
                <w:szCs w:val="21"/>
                <w:lang w:eastAsia="zh-CN"/>
              </w:rPr>
              <w:t>东</w:t>
            </w:r>
            <w:r>
              <w:rPr>
                <w:rFonts w:hint="eastAsia"/>
                <w:szCs w:val="21"/>
              </w:rPr>
              <w:t>肇庆</w:t>
            </w:r>
          </w:p>
        </w:tc>
        <w:tc>
          <w:tcPr>
            <w:tcW w:w="1985" w:type="dxa"/>
            <w:vAlign w:val="center"/>
          </w:tcPr>
          <w:p>
            <w:pPr>
              <w:jc w:val="center"/>
              <w:rPr>
                <w:szCs w:val="21"/>
              </w:rPr>
            </w:pPr>
            <w:r>
              <w:rPr>
                <w:rFonts w:hint="eastAsia"/>
                <w:szCs w:val="21"/>
              </w:rPr>
              <w:t>中轻检验（太原）</w:t>
            </w:r>
          </w:p>
        </w:tc>
        <w:tc>
          <w:tcPr>
            <w:tcW w:w="1724" w:type="dxa"/>
            <w:vAlign w:val="center"/>
          </w:tcPr>
          <w:p>
            <w:pPr>
              <w:jc w:val="center"/>
              <w:rPr>
                <w:szCs w:val="21"/>
              </w:rPr>
            </w:pPr>
            <w:r>
              <w:rPr>
                <w:rFonts w:hint="eastAsia"/>
                <w:szCs w:val="21"/>
              </w:rPr>
              <w:t>绿科安化学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szCs w:val="21"/>
              </w:rPr>
              <w:t>1#</w:t>
            </w:r>
            <w:r>
              <w:rPr>
                <w:rFonts w:hint="eastAsia"/>
                <w:szCs w:val="21"/>
              </w:rPr>
              <w:t>加标液</w:t>
            </w:r>
          </w:p>
        </w:tc>
        <w:tc>
          <w:tcPr>
            <w:tcW w:w="1282" w:type="dxa"/>
            <w:vAlign w:val="center"/>
          </w:tcPr>
          <w:p>
            <w:pPr>
              <w:jc w:val="center"/>
              <w:rPr>
                <w:szCs w:val="21"/>
              </w:rPr>
            </w:pPr>
            <w:r>
              <w:rPr>
                <w:szCs w:val="21"/>
              </w:rPr>
              <w:t>0.84</w:t>
            </w:r>
          </w:p>
        </w:tc>
        <w:tc>
          <w:tcPr>
            <w:tcW w:w="1559" w:type="dxa"/>
            <w:vAlign w:val="center"/>
          </w:tcPr>
          <w:p>
            <w:pPr>
              <w:jc w:val="center"/>
              <w:rPr>
                <w:szCs w:val="21"/>
              </w:rPr>
            </w:pPr>
            <w:r>
              <w:rPr>
                <w:szCs w:val="21"/>
              </w:rPr>
              <w:t>0.82</w:t>
            </w:r>
          </w:p>
        </w:tc>
        <w:tc>
          <w:tcPr>
            <w:tcW w:w="1270" w:type="dxa"/>
            <w:vAlign w:val="center"/>
          </w:tcPr>
          <w:p>
            <w:pPr>
              <w:jc w:val="center"/>
              <w:rPr>
                <w:szCs w:val="21"/>
              </w:rPr>
            </w:pPr>
            <w:r>
              <w:rPr>
                <w:szCs w:val="21"/>
              </w:rPr>
              <w:t>0</w:t>
            </w:r>
            <w:bookmarkStart w:id="30" w:name="_GoBack"/>
            <w:bookmarkEnd w:id="30"/>
            <w:r>
              <w:rPr>
                <w:szCs w:val="21"/>
              </w:rPr>
              <w:t>.70</w:t>
            </w:r>
          </w:p>
        </w:tc>
        <w:tc>
          <w:tcPr>
            <w:tcW w:w="1985" w:type="dxa"/>
            <w:vAlign w:val="center"/>
          </w:tcPr>
          <w:p>
            <w:pPr>
              <w:jc w:val="center"/>
              <w:rPr>
                <w:szCs w:val="21"/>
              </w:rPr>
            </w:pPr>
            <w:r>
              <w:rPr>
                <w:szCs w:val="21"/>
              </w:rPr>
              <w:t>0.97</w:t>
            </w:r>
          </w:p>
        </w:tc>
        <w:tc>
          <w:tcPr>
            <w:tcW w:w="1724" w:type="dxa"/>
            <w:vAlign w:val="center"/>
          </w:tcPr>
          <w:p>
            <w:pPr>
              <w:jc w:val="center"/>
              <w:rPr>
                <w:szCs w:val="21"/>
              </w:rPr>
            </w:pPr>
            <w:r>
              <w:rPr>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rFonts w:hint="eastAsia"/>
                <w:szCs w:val="21"/>
              </w:rPr>
              <w:t>回收率</w:t>
            </w:r>
            <w:r>
              <w:rPr>
                <w:rFonts w:hint="eastAsia"/>
                <w:sz w:val="22"/>
                <w:szCs w:val="22"/>
              </w:rPr>
              <w:t>（</w:t>
            </w:r>
            <w:r>
              <w:rPr>
                <w:sz w:val="22"/>
                <w:szCs w:val="22"/>
              </w:rPr>
              <w:t>%</w:t>
            </w:r>
            <w:r>
              <w:rPr>
                <w:rFonts w:hint="eastAsia"/>
                <w:sz w:val="22"/>
                <w:szCs w:val="22"/>
              </w:rPr>
              <w:t>）</w:t>
            </w:r>
          </w:p>
        </w:tc>
        <w:tc>
          <w:tcPr>
            <w:tcW w:w="1282" w:type="dxa"/>
            <w:vAlign w:val="center"/>
          </w:tcPr>
          <w:p>
            <w:pPr>
              <w:jc w:val="center"/>
              <w:rPr>
                <w:szCs w:val="21"/>
              </w:rPr>
            </w:pPr>
            <w:r>
              <w:rPr>
                <w:rFonts w:hint="eastAsia"/>
                <w:szCs w:val="21"/>
              </w:rPr>
              <w:t>——</w:t>
            </w:r>
          </w:p>
        </w:tc>
        <w:tc>
          <w:tcPr>
            <w:tcW w:w="1559" w:type="dxa"/>
            <w:vAlign w:val="center"/>
          </w:tcPr>
          <w:p>
            <w:pPr>
              <w:jc w:val="center"/>
              <w:rPr>
                <w:szCs w:val="21"/>
              </w:rPr>
            </w:pPr>
            <w:r>
              <w:rPr>
                <w:szCs w:val="21"/>
              </w:rPr>
              <w:t>97.62</w:t>
            </w:r>
          </w:p>
        </w:tc>
        <w:tc>
          <w:tcPr>
            <w:tcW w:w="1270" w:type="dxa"/>
            <w:vAlign w:val="center"/>
          </w:tcPr>
          <w:p>
            <w:pPr>
              <w:jc w:val="center"/>
              <w:rPr>
                <w:szCs w:val="21"/>
              </w:rPr>
            </w:pPr>
            <w:r>
              <w:rPr>
                <w:szCs w:val="21"/>
              </w:rPr>
              <w:t>83.33</w:t>
            </w:r>
          </w:p>
        </w:tc>
        <w:tc>
          <w:tcPr>
            <w:tcW w:w="1985" w:type="dxa"/>
            <w:vAlign w:val="center"/>
          </w:tcPr>
          <w:p>
            <w:pPr>
              <w:jc w:val="center"/>
              <w:rPr>
                <w:szCs w:val="21"/>
              </w:rPr>
            </w:pPr>
            <w:r>
              <w:rPr>
                <w:szCs w:val="21"/>
              </w:rPr>
              <w:t>115.48</w:t>
            </w:r>
          </w:p>
        </w:tc>
        <w:tc>
          <w:tcPr>
            <w:tcW w:w="1724" w:type="dxa"/>
            <w:vAlign w:val="center"/>
          </w:tcPr>
          <w:p>
            <w:pPr>
              <w:jc w:val="center"/>
              <w:rPr>
                <w:szCs w:val="21"/>
              </w:rPr>
            </w:pPr>
            <w:r>
              <w:rPr>
                <w:szCs w:val="21"/>
              </w:rPr>
              <w:t>95.24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szCs w:val="21"/>
              </w:rPr>
              <w:t>2#</w:t>
            </w:r>
            <w:r>
              <w:rPr>
                <w:rFonts w:hint="eastAsia"/>
                <w:szCs w:val="21"/>
              </w:rPr>
              <w:t>加标液</w:t>
            </w:r>
          </w:p>
        </w:tc>
        <w:tc>
          <w:tcPr>
            <w:tcW w:w="1282" w:type="dxa"/>
            <w:vAlign w:val="center"/>
          </w:tcPr>
          <w:p>
            <w:pPr>
              <w:widowControl/>
              <w:jc w:val="center"/>
              <w:rPr>
                <w:szCs w:val="21"/>
              </w:rPr>
            </w:pPr>
            <w:r>
              <w:rPr>
                <w:szCs w:val="21"/>
              </w:rPr>
              <w:t>1.98</w:t>
            </w:r>
          </w:p>
        </w:tc>
        <w:tc>
          <w:tcPr>
            <w:tcW w:w="1559" w:type="dxa"/>
            <w:vAlign w:val="center"/>
          </w:tcPr>
          <w:p>
            <w:pPr>
              <w:jc w:val="center"/>
              <w:rPr>
                <w:szCs w:val="21"/>
              </w:rPr>
            </w:pPr>
            <w:r>
              <w:rPr>
                <w:szCs w:val="21"/>
              </w:rPr>
              <w:t>1.91</w:t>
            </w:r>
          </w:p>
        </w:tc>
        <w:tc>
          <w:tcPr>
            <w:tcW w:w="1270" w:type="dxa"/>
            <w:vAlign w:val="center"/>
          </w:tcPr>
          <w:p>
            <w:pPr>
              <w:jc w:val="center"/>
              <w:rPr>
                <w:szCs w:val="21"/>
              </w:rPr>
            </w:pPr>
            <w:r>
              <w:rPr>
                <w:szCs w:val="21"/>
              </w:rPr>
              <w:t>1.64</w:t>
            </w:r>
          </w:p>
        </w:tc>
        <w:tc>
          <w:tcPr>
            <w:tcW w:w="1985" w:type="dxa"/>
            <w:vAlign w:val="center"/>
          </w:tcPr>
          <w:p>
            <w:pPr>
              <w:jc w:val="center"/>
              <w:rPr>
                <w:szCs w:val="21"/>
              </w:rPr>
            </w:pPr>
            <w:r>
              <w:rPr>
                <w:szCs w:val="21"/>
              </w:rPr>
              <w:t>2.10</w:t>
            </w:r>
          </w:p>
        </w:tc>
        <w:tc>
          <w:tcPr>
            <w:tcW w:w="1724" w:type="dxa"/>
            <w:vAlign w:val="center"/>
          </w:tcPr>
          <w:p>
            <w:pPr>
              <w:jc w:val="center"/>
              <w:rPr>
                <w:szCs w:val="21"/>
              </w:rPr>
            </w:pPr>
            <w:r>
              <w:rPr>
                <w:szCs w:val="21"/>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rFonts w:hint="eastAsia"/>
                <w:szCs w:val="21"/>
              </w:rPr>
              <w:t>回收率</w:t>
            </w:r>
            <w:r>
              <w:rPr>
                <w:rFonts w:hint="eastAsia"/>
                <w:sz w:val="22"/>
                <w:szCs w:val="22"/>
              </w:rPr>
              <w:t>（</w:t>
            </w:r>
            <w:r>
              <w:rPr>
                <w:sz w:val="22"/>
                <w:szCs w:val="22"/>
              </w:rPr>
              <w:t>%</w:t>
            </w:r>
            <w:r>
              <w:rPr>
                <w:rFonts w:hint="eastAsia"/>
                <w:sz w:val="22"/>
                <w:szCs w:val="22"/>
              </w:rPr>
              <w:t>）</w:t>
            </w:r>
          </w:p>
        </w:tc>
        <w:tc>
          <w:tcPr>
            <w:tcW w:w="1282" w:type="dxa"/>
            <w:vAlign w:val="center"/>
          </w:tcPr>
          <w:p>
            <w:pPr>
              <w:jc w:val="center"/>
              <w:rPr>
                <w:szCs w:val="21"/>
              </w:rPr>
            </w:pPr>
            <w:r>
              <w:rPr>
                <w:rFonts w:hint="eastAsia"/>
                <w:szCs w:val="21"/>
              </w:rPr>
              <w:t>——</w:t>
            </w:r>
          </w:p>
        </w:tc>
        <w:tc>
          <w:tcPr>
            <w:tcW w:w="1559" w:type="dxa"/>
            <w:vAlign w:val="center"/>
          </w:tcPr>
          <w:p>
            <w:pPr>
              <w:jc w:val="center"/>
              <w:rPr>
                <w:szCs w:val="21"/>
              </w:rPr>
            </w:pPr>
            <w:r>
              <w:rPr>
                <w:szCs w:val="21"/>
              </w:rPr>
              <w:t>96.46</w:t>
            </w:r>
          </w:p>
        </w:tc>
        <w:tc>
          <w:tcPr>
            <w:tcW w:w="1270" w:type="dxa"/>
            <w:vAlign w:val="center"/>
          </w:tcPr>
          <w:p>
            <w:pPr>
              <w:jc w:val="center"/>
              <w:rPr>
                <w:szCs w:val="21"/>
              </w:rPr>
            </w:pPr>
            <w:r>
              <w:rPr>
                <w:szCs w:val="21"/>
              </w:rPr>
              <w:t>82.83</w:t>
            </w:r>
          </w:p>
        </w:tc>
        <w:tc>
          <w:tcPr>
            <w:tcW w:w="1985" w:type="dxa"/>
            <w:vAlign w:val="center"/>
          </w:tcPr>
          <w:p>
            <w:pPr>
              <w:jc w:val="center"/>
              <w:rPr>
                <w:szCs w:val="21"/>
              </w:rPr>
            </w:pPr>
            <w:r>
              <w:rPr>
                <w:szCs w:val="21"/>
              </w:rPr>
              <w:t>106.06</w:t>
            </w:r>
          </w:p>
        </w:tc>
        <w:tc>
          <w:tcPr>
            <w:tcW w:w="1724" w:type="dxa"/>
            <w:vAlign w:val="center"/>
          </w:tcPr>
          <w:p>
            <w:pPr>
              <w:jc w:val="center"/>
              <w:rPr>
                <w:szCs w:val="21"/>
              </w:rPr>
            </w:pPr>
            <w:r>
              <w:rPr>
                <w:szCs w:val="21"/>
              </w:rPr>
              <w:t>95.96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szCs w:val="21"/>
              </w:rPr>
              <w:t>3#</w:t>
            </w:r>
            <w:r>
              <w:rPr>
                <w:rFonts w:hint="eastAsia"/>
                <w:szCs w:val="21"/>
              </w:rPr>
              <w:t>加标液</w:t>
            </w:r>
          </w:p>
        </w:tc>
        <w:tc>
          <w:tcPr>
            <w:tcW w:w="1282" w:type="dxa"/>
            <w:vAlign w:val="center"/>
          </w:tcPr>
          <w:p>
            <w:pPr>
              <w:jc w:val="center"/>
              <w:rPr>
                <w:szCs w:val="21"/>
              </w:rPr>
            </w:pPr>
            <w:r>
              <w:rPr>
                <w:szCs w:val="21"/>
              </w:rPr>
              <w:t>3.83</w:t>
            </w:r>
          </w:p>
        </w:tc>
        <w:tc>
          <w:tcPr>
            <w:tcW w:w="1559" w:type="dxa"/>
            <w:vAlign w:val="center"/>
          </w:tcPr>
          <w:p>
            <w:pPr>
              <w:jc w:val="center"/>
              <w:rPr>
                <w:szCs w:val="21"/>
              </w:rPr>
            </w:pPr>
            <w:r>
              <w:rPr>
                <w:szCs w:val="21"/>
              </w:rPr>
              <w:t>3.62</w:t>
            </w:r>
          </w:p>
        </w:tc>
        <w:tc>
          <w:tcPr>
            <w:tcW w:w="1270" w:type="dxa"/>
            <w:vAlign w:val="center"/>
          </w:tcPr>
          <w:p>
            <w:pPr>
              <w:jc w:val="center"/>
              <w:rPr>
                <w:szCs w:val="21"/>
              </w:rPr>
            </w:pPr>
            <w:r>
              <w:rPr>
                <w:szCs w:val="21"/>
              </w:rPr>
              <w:t>3.22</w:t>
            </w:r>
          </w:p>
        </w:tc>
        <w:tc>
          <w:tcPr>
            <w:tcW w:w="1985" w:type="dxa"/>
            <w:vAlign w:val="center"/>
          </w:tcPr>
          <w:p>
            <w:pPr>
              <w:jc w:val="center"/>
              <w:rPr>
                <w:szCs w:val="21"/>
              </w:rPr>
            </w:pPr>
            <w:r>
              <w:rPr>
                <w:szCs w:val="21"/>
              </w:rPr>
              <w:t>4.44</w:t>
            </w:r>
          </w:p>
        </w:tc>
        <w:tc>
          <w:tcPr>
            <w:tcW w:w="1724" w:type="dxa"/>
            <w:vAlign w:val="center"/>
          </w:tcPr>
          <w:p>
            <w:pPr>
              <w:jc w:val="center"/>
              <w:rPr>
                <w:szCs w:val="21"/>
              </w:rPr>
            </w:pPr>
            <w:r>
              <w:rPr>
                <w:szCs w:val="21"/>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64" w:type="dxa"/>
            <w:vAlign w:val="center"/>
          </w:tcPr>
          <w:p>
            <w:pPr>
              <w:jc w:val="center"/>
              <w:rPr>
                <w:szCs w:val="21"/>
              </w:rPr>
            </w:pPr>
            <w:r>
              <w:rPr>
                <w:rFonts w:hint="eastAsia"/>
                <w:szCs w:val="21"/>
              </w:rPr>
              <w:t>回收率</w:t>
            </w:r>
            <w:r>
              <w:rPr>
                <w:rFonts w:hint="eastAsia"/>
                <w:sz w:val="22"/>
                <w:szCs w:val="22"/>
              </w:rPr>
              <w:t>（</w:t>
            </w:r>
            <w:r>
              <w:rPr>
                <w:sz w:val="22"/>
                <w:szCs w:val="22"/>
              </w:rPr>
              <w:t>%</w:t>
            </w:r>
            <w:r>
              <w:rPr>
                <w:rFonts w:hint="eastAsia"/>
                <w:sz w:val="22"/>
                <w:szCs w:val="22"/>
              </w:rPr>
              <w:t>）</w:t>
            </w:r>
          </w:p>
        </w:tc>
        <w:tc>
          <w:tcPr>
            <w:tcW w:w="1282" w:type="dxa"/>
            <w:vAlign w:val="center"/>
          </w:tcPr>
          <w:p>
            <w:pPr>
              <w:jc w:val="center"/>
              <w:rPr>
                <w:szCs w:val="21"/>
              </w:rPr>
            </w:pPr>
            <w:r>
              <w:rPr>
                <w:rFonts w:hint="eastAsia"/>
                <w:szCs w:val="21"/>
              </w:rPr>
              <w:t>——</w:t>
            </w:r>
          </w:p>
        </w:tc>
        <w:tc>
          <w:tcPr>
            <w:tcW w:w="1559" w:type="dxa"/>
            <w:vAlign w:val="center"/>
          </w:tcPr>
          <w:p>
            <w:pPr>
              <w:jc w:val="center"/>
              <w:rPr>
                <w:szCs w:val="21"/>
              </w:rPr>
            </w:pPr>
            <w:r>
              <w:rPr>
                <w:szCs w:val="21"/>
              </w:rPr>
              <w:t>94.52</w:t>
            </w:r>
          </w:p>
        </w:tc>
        <w:tc>
          <w:tcPr>
            <w:tcW w:w="1270" w:type="dxa"/>
            <w:vAlign w:val="center"/>
          </w:tcPr>
          <w:p>
            <w:pPr>
              <w:jc w:val="center"/>
              <w:rPr>
                <w:szCs w:val="21"/>
              </w:rPr>
            </w:pPr>
            <w:r>
              <w:rPr>
                <w:szCs w:val="21"/>
              </w:rPr>
              <w:t>84.07</w:t>
            </w:r>
          </w:p>
        </w:tc>
        <w:tc>
          <w:tcPr>
            <w:tcW w:w="1985" w:type="dxa"/>
            <w:vAlign w:val="center"/>
          </w:tcPr>
          <w:p>
            <w:pPr>
              <w:jc w:val="center"/>
              <w:rPr>
                <w:szCs w:val="21"/>
              </w:rPr>
            </w:pPr>
            <w:r>
              <w:rPr>
                <w:szCs w:val="21"/>
              </w:rPr>
              <w:t>115.93</w:t>
            </w:r>
          </w:p>
        </w:tc>
        <w:tc>
          <w:tcPr>
            <w:tcW w:w="1724" w:type="dxa"/>
            <w:vAlign w:val="center"/>
          </w:tcPr>
          <w:p>
            <w:pPr>
              <w:jc w:val="center"/>
              <w:rPr>
                <w:szCs w:val="21"/>
              </w:rPr>
            </w:pPr>
            <w:r>
              <w:rPr>
                <w:szCs w:val="21"/>
              </w:rPr>
              <w:t>93.21</w:t>
            </w:r>
          </w:p>
        </w:tc>
      </w:tr>
    </w:tbl>
    <w:p>
      <w:pPr>
        <w:ind w:firstLine="420" w:firstLineChars="200"/>
        <w:rPr>
          <w:szCs w:val="21"/>
        </w:rPr>
      </w:pPr>
      <w:r>
        <w:rPr>
          <w:rFonts w:hint="eastAsia"/>
          <w:szCs w:val="21"/>
        </w:rPr>
        <w:t>回收率在</w:t>
      </w:r>
      <w:r>
        <w:rPr>
          <w:szCs w:val="21"/>
        </w:rPr>
        <w:t>80</w:t>
      </w:r>
      <w:r>
        <w:rPr>
          <w:rFonts w:hint="eastAsia"/>
          <w:szCs w:val="21"/>
        </w:rPr>
        <w:t>%～</w:t>
      </w:r>
      <w:r>
        <w:rPr>
          <w:szCs w:val="21"/>
        </w:rPr>
        <w:t>120</w:t>
      </w:r>
      <w:r>
        <w:rPr>
          <w:rFonts w:hint="eastAsia"/>
          <w:szCs w:val="21"/>
        </w:rPr>
        <w:t>%之间，符合</w:t>
      </w:r>
      <w:r>
        <w:rPr>
          <w:szCs w:val="21"/>
        </w:rPr>
        <w:t>GB/T 27417</w:t>
      </w:r>
      <w:r>
        <w:rPr>
          <w:rFonts w:ascii="MS Mincho" w:hAnsi="MS Mincho" w:eastAsia="MS Mincho" w:cs="MS Mincho"/>
          <w:szCs w:val="21"/>
        </w:rPr>
        <w:t>‑</w:t>
      </w:r>
      <w:r>
        <w:rPr>
          <w:szCs w:val="21"/>
        </w:rPr>
        <w:t>2017</w:t>
      </w:r>
      <w:r>
        <w:rPr>
          <w:rFonts w:hint="eastAsia"/>
          <w:szCs w:val="21"/>
        </w:rPr>
        <w:t>《合格评定</w:t>
      </w:r>
      <w:r>
        <w:rPr>
          <w:szCs w:val="21"/>
        </w:rPr>
        <w:t xml:space="preserve"> </w:t>
      </w:r>
      <w:r>
        <w:rPr>
          <w:rFonts w:hint="eastAsia"/>
          <w:szCs w:val="21"/>
        </w:rPr>
        <w:t>化学分析方法确认和验证指南》对方法回收率偏差范围的要求。</w:t>
      </w:r>
    </w:p>
    <w:p>
      <w:pPr>
        <w:spacing w:before="156" w:beforeLines="50" w:after="156" w:afterLines="50"/>
        <w:rPr>
          <w:b/>
          <w:szCs w:val="21"/>
        </w:rPr>
      </w:pPr>
      <w:r>
        <w:rPr>
          <w:b/>
          <w:szCs w:val="21"/>
        </w:rPr>
        <w:t>四、标准中如果涉及专利，应有明确的知识产权说明</w:t>
      </w:r>
    </w:p>
    <w:p>
      <w:pPr>
        <w:ind w:firstLine="420" w:firstLineChars="200"/>
      </w:pPr>
      <w:r>
        <w:t>未涉及专利等知识产权问题。</w:t>
      </w:r>
    </w:p>
    <w:p>
      <w:pPr>
        <w:spacing w:before="156" w:beforeLines="50" w:after="156" w:afterLines="50"/>
        <w:rPr>
          <w:b/>
          <w:szCs w:val="21"/>
        </w:rPr>
      </w:pPr>
      <w:r>
        <w:rPr>
          <w:b/>
          <w:szCs w:val="21"/>
        </w:rPr>
        <w:t>五、产业化情况、推广应用论证和预期达到的经济效果等情况</w:t>
      </w:r>
    </w:p>
    <w:p>
      <w:pPr>
        <w:ind w:firstLine="480" w:firstLineChars="200"/>
      </w:pPr>
      <w:r>
        <w:rPr>
          <w:sz w:val="24"/>
        </w:rPr>
        <w:t>•</w:t>
      </w:r>
      <w:r>
        <w:t>标准实施主体：是拥有ICP-MS检测仪器的检验检测机构或大型洗涤剂产品生产企业。</w:t>
      </w:r>
    </w:p>
    <w:p>
      <w:pPr>
        <w:ind w:firstLine="480" w:firstLineChars="200"/>
      </w:pPr>
      <w:r>
        <w:rPr>
          <w:sz w:val="24"/>
        </w:rPr>
        <w:t>•</w:t>
      </w:r>
      <w:r>
        <w:t>产业化情况：适用于表面活性剂（洗涤剂、洗洁精、洗衣粉等）生产厂家的大批量产品的磷元素含量的快速检测。</w:t>
      </w:r>
    </w:p>
    <w:p>
      <w:pPr>
        <w:ind w:firstLine="480" w:firstLineChars="200"/>
      </w:pPr>
      <w:r>
        <w:rPr>
          <w:sz w:val="24"/>
        </w:rPr>
        <w:t>•</w:t>
      </w:r>
      <w:r>
        <w:t>推广应用论证：本标准应用当前检测元素较先进和便捷的技术—电感耦合等离子体质谱法（ICP-MS）检测洗涤剂中磷的含量。优点：只需购买可计量溯源的国家标准物质磷标准试剂，配制标准系列磷标准溶液，试剂溶液配制简单，且存放时间长（在冰箱内低温存放，可以保存6个月），减少人员工作量，缩短工作时间。</w:t>
      </w:r>
    </w:p>
    <w:p>
      <w:pPr>
        <w:ind w:firstLine="420" w:firstLineChars="200"/>
      </w:pPr>
      <w:r>
        <w:t>•预期达到的经济效果：电感耦合等离子体质谱法（ICP-MS）比磷钼酸喹啉重量法（化学试剂法）和磷钼蓝比色法（分光光度法）操作简便、使用的化学试剂更少、大大减少了工作量；ICP-MS的检测限有μg/kg（十亿分之一），ICP-AES的检测限有mg/kg（百万分之一），ICP-MS比ICP-AES的检测能力更强，达到</w:t>
      </w:r>
      <w:r>
        <w:rPr>
          <w:kern w:val="0"/>
          <w:szCs w:val="21"/>
        </w:rPr>
        <w:t>低量（或痕量）检出限。</w:t>
      </w:r>
      <w:r>
        <w:t>采用ICP-MS，能够对低磷或无磷表面活性剂（洗涤剂、洗洁精、洗衣粉等）中总五氧化二磷进行有效的定性和定量检测。应用ICP-MS法快速检测磷含量，对大批量洗涤剂产品作出质量判断，有效减少人员工作量，缩短工作时间。有利于改善环境、劳动条件和达到节能降耗的目的。</w:t>
      </w:r>
    </w:p>
    <w:p>
      <w:pPr>
        <w:spacing w:before="156" w:beforeLines="50" w:after="156" w:afterLines="50"/>
        <w:rPr>
          <w:b/>
          <w:szCs w:val="21"/>
        </w:rPr>
      </w:pPr>
      <w:r>
        <w:rPr>
          <w:b/>
          <w:szCs w:val="21"/>
        </w:rPr>
        <w:t>六、采用国际标准和国外先进标准情况</w:t>
      </w:r>
    </w:p>
    <w:p>
      <w:pPr>
        <w:ind w:firstLine="420" w:firstLineChars="200"/>
      </w:pPr>
      <w:r>
        <w:rPr>
          <w:kern w:val="0"/>
          <w:szCs w:val="21"/>
        </w:rPr>
        <w:t>对洗涤剂中的磷含量采用电感耦合等离子体质谱法（ICP-MS）检测尚无相应的国际、国家、行业或地方标准。</w:t>
      </w:r>
    </w:p>
    <w:p>
      <w:pPr>
        <w:spacing w:before="156" w:beforeLines="50" w:after="156" w:afterLines="50"/>
        <w:rPr>
          <w:b/>
          <w:szCs w:val="21"/>
        </w:rPr>
      </w:pPr>
      <w:r>
        <w:rPr>
          <w:b/>
          <w:szCs w:val="21"/>
        </w:rPr>
        <w:t>七、与现行相关法律、法规、规章及相关标准，特别是强制性标准的协调性</w:t>
      </w:r>
    </w:p>
    <w:p>
      <w:pPr>
        <w:adjustRightInd w:val="0"/>
        <w:snapToGrid w:val="0"/>
        <w:ind w:firstLine="420" w:firstLineChars="200"/>
        <w:jc w:val="left"/>
        <w:rPr>
          <w:kern w:val="0"/>
          <w:szCs w:val="21"/>
        </w:rPr>
      </w:pPr>
      <w:r>
        <w:rPr>
          <w:kern w:val="0"/>
          <w:szCs w:val="21"/>
        </w:rPr>
        <w:t>与洗涤剂行业相关法律法规、规章协调一致，未发生冲突。</w:t>
      </w:r>
    </w:p>
    <w:p>
      <w:pPr>
        <w:spacing w:before="156" w:beforeLines="50" w:after="156" w:afterLines="50"/>
        <w:rPr>
          <w:b/>
          <w:szCs w:val="21"/>
        </w:rPr>
      </w:pPr>
      <w:r>
        <w:rPr>
          <w:b/>
          <w:szCs w:val="21"/>
        </w:rPr>
        <w:t>八、重大分歧意见的处理经过和依据</w:t>
      </w:r>
    </w:p>
    <w:p>
      <w:pPr>
        <w:adjustRightInd w:val="0"/>
        <w:snapToGrid w:val="0"/>
        <w:ind w:firstLine="420" w:firstLineChars="200"/>
        <w:jc w:val="left"/>
      </w:pPr>
      <w:r>
        <w:t>无重大分歧意见。</w:t>
      </w:r>
    </w:p>
    <w:p>
      <w:pPr>
        <w:spacing w:before="156" w:beforeLines="50" w:after="156" w:afterLines="50"/>
        <w:rPr>
          <w:b/>
          <w:szCs w:val="21"/>
        </w:rPr>
      </w:pPr>
      <w:r>
        <w:rPr>
          <w:b/>
          <w:szCs w:val="21"/>
        </w:rPr>
        <w:t>九、标准性质的建议说明</w:t>
      </w:r>
    </w:p>
    <w:p>
      <w:pPr>
        <w:adjustRightInd w:val="0"/>
        <w:snapToGrid w:val="0"/>
        <w:ind w:firstLine="420" w:firstLineChars="200"/>
        <w:jc w:val="left"/>
      </w:pPr>
      <w:r>
        <w:t>标准性质是国家推荐性标准。</w:t>
      </w:r>
    </w:p>
    <w:p>
      <w:pPr>
        <w:spacing w:before="156" w:beforeLines="50" w:after="156" w:afterLines="50"/>
        <w:rPr>
          <w:b/>
          <w:szCs w:val="21"/>
        </w:rPr>
      </w:pPr>
      <w:r>
        <w:rPr>
          <w:b/>
          <w:szCs w:val="21"/>
        </w:rPr>
        <w:t>十、贯彻标准的要求和措施建议</w:t>
      </w:r>
    </w:p>
    <w:p>
      <w:pPr>
        <w:adjustRightInd w:val="0"/>
        <w:snapToGrid w:val="0"/>
        <w:ind w:firstLine="420" w:firstLineChars="200"/>
        <w:jc w:val="left"/>
      </w:pPr>
      <w:r>
        <w:t>建议本标准批准发布6个月后实施。</w:t>
      </w:r>
    </w:p>
    <w:p>
      <w:pPr>
        <w:spacing w:before="156" w:beforeLines="50" w:after="156" w:afterLines="50"/>
        <w:rPr>
          <w:b/>
          <w:szCs w:val="21"/>
        </w:rPr>
      </w:pPr>
      <w:r>
        <w:rPr>
          <w:b/>
          <w:szCs w:val="21"/>
        </w:rPr>
        <w:t>十一、废止现行相关标准的建议</w:t>
      </w:r>
    </w:p>
    <w:p>
      <w:pPr>
        <w:adjustRightInd w:val="0"/>
        <w:snapToGrid w:val="0"/>
        <w:ind w:firstLine="420" w:firstLineChars="200"/>
        <w:jc w:val="left"/>
      </w:pPr>
      <w:r>
        <w:t>无。</w:t>
      </w:r>
    </w:p>
    <w:p>
      <w:pPr>
        <w:spacing w:before="156" w:beforeLines="50" w:after="156" w:afterLines="50"/>
        <w:rPr>
          <w:b/>
          <w:szCs w:val="21"/>
        </w:rPr>
      </w:pPr>
      <w:r>
        <w:rPr>
          <w:b/>
          <w:szCs w:val="21"/>
        </w:rPr>
        <w:t>十二、其它应予说明的事项</w:t>
      </w:r>
    </w:p>
    <w:p>
      <w:pPr>
        <w:adjustRightInd w:val="0"/>
        <w:snapToGrid w:val="0"/>
        <w:ind w:firstLine="420" w:firstLineChars="200"/>
        <w:jc w:val="left"/>
        <w:rPr>
          <w:szCs w:val="21"/>
        </w:rPr>
      </w:pPr>
      <w:r>
        <w:t>无。</w:t>
      </w: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Mangal">
    <w:panose1 w:val="02040503050203030202"/>
    <w:charset w:val="00"/>
    <w:family w:val="roman"/>
    <w:pitch w:val="default"/>
    <w:sig w:usb0="00008003"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7</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8190D"/>
    <w:multiLevelType w:val="multilevel"/>
    <w:tmpl w:val="0EE8190D"/>
    <w:lvl w:ilvl="0" w:tentative="0">
      <w:start w:val="100"/>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abstractNum w:abstractNumId="2">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wMzFjNDNmYjFiM2U5MzZkMDAxNjJlOTY3MzQyZTgifQ=="/>
  </w:docVars>
  <w:rsids>
    <w:rsidRoot w:val="00F61602"/>
    <w:rsid w:val="000010BC"/>
    <w:rsid w:val="0000214F"/>
    <w:rsid w:val="00002375"/>
    <w:rsid w:val="00002682"/>
    <w:rsid w:val="00013D3E"/>
    <w:rsid w:val="00015F8D"/>
    <w:rsid w:val="0001623F"/>
    <w:rsid w:val="000163E4"/>
    <w:rsid w:val="0002235A"/>
    <w:rsid w:val="000246EA"/>
    <w:rsid w:val="00030847"/>
    <w:rsid w:val="000310E6"/>
    <w:rsid w:val="00031114"/>
    <w:rsid w:val="0003122C"/>
    <w:rsid w:val="00042891"/>
    <w:rsid w:val="00043409"/>
    <w:rsid w:val="00044A5D"/>
    <w:rsid w:val="0005015E"/>
    <w:rsid w:val="00051308"/>
    <w:rsid w:val="00054103"/>
    <w:rsid w:val="000555E0"/>
    <w:rsid w:val="00063003"/>
    <w:rsid w:val="00064343"/>
    <w:rsid w:val="00067D29"/>
    <w:rsid w:val="00081A85"/>
    <w:rsid w:val="00083150"/>
    <w:rsid w:val="00083A32"/>
    <w:rsid w:val="00086606"/>
    <w:rsid w:val="0009797C"/>
    <w:rsid w:val="000A6CCE"/>
    <w:rsid w:val="000B22A2"/>
    <w:rsid w:val="000B5742"/>
    <w:rsid w:val="000C06BF"/>
    <w:rsid w:val="000C3601"/>
    <w:rsid w:val="000C3DE1"/>
    <w:rsid w:val="000D1241"/>
    <w:rsid w:val="000D15FA"/>
    <w:rsid w:val="000D1A26"/>
    <w:rsid w:val="000D3C9D"/>
    <w:rsid w:val="000D61EA"/>
    <w:rsid w:val="000D6B77"/>
    <w:rsid w:val="000D6BA4"/>
    <w:rsid w:val="000D7945"/>
    <w:rsid w:val="000E1551"/>
    <w:rsid w:val="000E35BB"/>
    <w:rsid w:val="000F09D2"/>
    <w:rsid w:val="000F1207"/>
    <w:rsid w:val="000F165E"/>
    <w:rsid w:val="000F2A56"/>
    <w:rsid w:val="000F35D6"/>
    <w:rsid w:val="000F6A02"/>
    <w:rsid w:val="00101763"/>
    <w:rsid w:val="00102329"/>
    <w:rsid w:val="001110BD"/>
    <w:rsid w:val="00113C78"/>
    <w:rsid w:val="00115DEC"/>
    <w:rsid w:val="00115EB3"/>
    <w:rsid w:val="00120B1D"/>
    <w:rsid w:val="00121E49"/>
    <w:rsid w:val="00122515"/>
    <w:rsid w:val="00122F38"/>
    <w:rsid w:val="00124D5C"/>
    <w:rsid w:val="00125548"/>
    <w:rsid w:val="00130FEB"/>
    <w:rsid w:val="00132832"/>
    <w:rsid w:val="00134248"/>
    <w:rsid w:val="00143E73"/>
    <w:rsid w:val="001442E6"/>
    <w:rsid w:val="0014640F"/>
    <w:rsid w:val="0015079C"/>
    <w:rsid w:val="00151BD0"/>
    <w:rsid w:val="00153D43"/>
    <w:rsid w:val="0015428C"/>
    <w:rsid w:val="001549CA"/>
    <w:rsid w:val="00156C73"/>
    <w:rsid w:val="0016371B"/>
    <w:rsid w:val="001656F8"/>
    <w:rsid w:val="001656FD"/>
    <w:rsid w:val="0016593C"/>
    <w:rsid w:val="00170495"/>
    <w:rsid w:val="001756CA"/>
    <w:rsid w:val="001759DD"/>
    <w:rsid w:val="00177299"/>
    <w:rsid w:val="00180C3A"/>
    <w:rsid w:val="00181F20"/>
    <w:rsid w:val="00184190"/>
    <w:rsid w:val="00185BCC"/>
    <w:rsid w:val="00192D82"/>
    <w:rsid w:val="001940B9"/>
    <w:rsid w:val="001942AA"/>
    <w:rsid w:val="00194E2C"/>
    <w:rsid w:val="0019561F"/>
    <w:rsid w:val="001957EE"/>
    <w:rsid w:val="00195FAB"/>
    <w:rsid w:val="001A5C63"/>
    <w:rsid w:val="001B019A"/>
    <w:rsid w:val="001B0441"/>
    <w:rsid w:val="001B2047"/>
    <w:rsid w:val="001B7036"/>
    <w:rsid w:val="001C646A"/>
    <w:rsid w:val="001C7E78"/>
    <w:rsid w:val="001D1646"/>
    <w:rsid w:val="001D228A"/>
    <w:rsid w:val="001E19B7"/>
    <w:rsid w:val="001E34A6"/>
    <w:rsid w:val="001E76C2"/>
    <w:rsid w:val="001F0861"/>
    <w:rsid w:val="001F2565"/>
    <w:rsid w:val="001F6A15"/>
    <w:rsid w:val="00200C6E"/>
    <w:rsid w:val="00204638"/>
    <w:rsid w:val="00204B98"/>
    <w:rsid w:val="0020649C"/>
    <w:rsid w:val="00207732"/>
    <w:rsid w:val="0021041A"/>
    <w:rsid w:val="00210C1D"/>
    <w:rsid w:val="002128AD"/>
    <w:rsid w:val="00212EE3"/>
    <w:rsid w:val="00213089"/>
    <w:rsid w:val="00215BB6"/>
    <w:rsid w:val="002172C6"/>
    <w:rsid w:val="00217D77"/>
    <w:rsid w:val="00217DFF"/>
    <w:rsid w:val="00223763"/>
    <w:rsid w:val="00227F5C"/>
    <w:rsid w:val="00232658"/>
    <w:rsid w:val="00241577"/>
    <w:rsid w:val="00241A84"/>
    <w:rsid w:val="0024210A"/>
    <w:rsid w:val="00242ABE"/>
    <w:rsid w:val="00243C27"/>
    <w:rsid w:val="002461B2"/>
    <w:rsid w:val="00254D5F"/>
    <w:rsid w:val="002554FC"/>
    <w:rsid w:val="0025637D"/>
    <w:rsid w:val="00261B1F"/>
    <w:rsid w:val="00262CFD"/>
    <w:rsid w:val="00265E98"/>
    <w:rsid w:val="00270967"/>
    <w:rsid w:val="002716B1"/>
    <w:rsid w:val="00271ADA"/>
    <w:rsid w:val="002768DF"/>
    <w:rsid w:val="0028689B"/>
    <w:rsid w:val="002A2B1B"/>
    <w:rsid w:val="002A6A3F"/>
    <w:rsid w:val="002B15AA"/>
    <w:rsid w:val="002B2289"/>
    <w:rsid w:val="002B2562"/>
    <w:rsid w:val="002B28DC"/>
    <w:rsid w:val="002C1FEF"/>
    <w:rsid w:val="002C3214"/>
    <w:rsid w:val="002C4CA0"/>
    <w:rsid w:val="002D04CC"/>
    <w:rsid w:val="002D1F5D"/>
    <w:rsid w:val="002E12A5"/>
    <w:rsid w:val="002E130D"/>
    <w:rsid w:val="002E52A0"/>
    <w:rsid w:val="002E65ED"/>
    <w:rsid w:val="002E7E44"/>
    <w:rsid w:val="002F3117"/>
    <w:rsid w:val="002F34A7"/>
    <w:rsid w:val="002F64FD"/>
    <w:rsid w:val="002F7A54"/>
    <w:rsid w:val="00304EF8"/>
    <w:rsid w:val="003104D1"/>
    <w:rsid w:val="00310506"/>
    <w:rsid w:val="00310BAC"/>
    <w:rsid w:val="003122B6"/>
    <w:rsid w:val="00315A00"/>
    <w:rsid w:val="00323E07"/>
    <w:rsid w:val="0032529C"/>
    <w:rsid w:val="003273A0"/>
    <w:rsid w:val="00330102"/>
    <w:rsid w:val="00330C95"/>
    <w:rsid w:val="00334907"/>
    <w:rsid w:val="00336405"/>
    <w:rsid w:val="003477C5"/>
    <w:rsid w:val="0035180D"/>
    <w:rsid w:val="003527ED"/>
    <w:rsid w:val="00354759"/>
    <w:rsid w:val="003602F3"/>
    <w:rsid w:val="0036239C"/>
    <w:rsid w:val="00362E31"/>
    <w:rsid w:val="00372908"/>
    <w:rsid w:val="00374935"/>
    <w:rsid w:val="0037498B"/>
    <w:rsid w:val="00380799"/>
    <w:rsid w:val="00382CC2"/>
    <w:rsid w:val="003875BD"/>
    <w:rsid w:val="00387C21"/>
    <w:rsid w:val="00390556"/>
    <w:rsid w:val="003A3877"/>
    <w:rsid w:val="003A6732"/>
    <w:rsid w:val="003B268E"/>
    <w:rsid w:val="003B481C"/>
    <w:rsid w:val="003C22B0"/>
    <w:rsid w:val="003C4BA4"/>
    <w:rsid w:val="003D3441"/>
    <w:rsid w:val="003D4331"/>
    <w:rsid w:val="003E1771"/>
    <w:rsid w:val="003E5346"/>
    <w:rsid w:val="003E6462"/>
    <w:rsid w:val="003E659D"/>
    <w:rsid w:val="003F010A"/>
    <w:rsid w:val="003F012C"/>
    <w:rsid w:val="00400686"/>
    <w:rsid w:val="0040207E"/>
    <w:rsid w:val="004029DF"/>
    <w:rsid w:val="00404E99"/>
    <w:rsid w:val="004058AA"/>
    <w:rsid w:val="0040680B"/>
    <w:rsid w:val="00406BD1"/>
    <w:rsid w:val="0041260E"/>
    <w:rsid w:val="00412770"/>
    <w:rsid w:val="00412E0A"/>
    <w:rsid w:val="00414475"/>
    <w:rsid w:val="004178B8"/>
    <w:rsid w:val="00417CC2"/>
    <w:rsid w:val="004204A0"/>
    <w:rsid w:val="00420BA3"/>
    <w:rsid w:val="00421CE1"/>
    <w:rsid w:val="00425A97"/>
    <w:rsid w:val="00427598"/>
    <w:rsid w:val="00431488"/>
    <w:rsid w:val="00435F1D"/>
    <w:rsid w:val="00437F5B"/>
    <w:rsid w:val="00443BAB"/>
    <w:rsid w:val="00446613"/>
    <w:rsid w:val="0045120F"/>
    <w:rsid w:val="00455AC6"/>
    <w:rsid w:val="0045695C"/>
    <w:rsid w:val="00462794"/>
    <w:rsid w:val="004637D3"/>
    <w:rsid w:val="004663DB"/>
    <w:rsid w:val="00474834"/>
    <w:rsid w:val="00474B27"/>
    <w:rsid w:val="00477265"/>
    <w:rsid w:val="00477DF6"/>
    <w:rsid w:val="00477EC4"/>
    <w:rsid w:val="004827F0"/>
    <w:rsid w:val="004955F0"/>
    <w:rsid w:val="00495BCD"/>
    <w:rsid w:val="00496563"/>
    <w:rsid w:val="004973F4"/>
    <w:rsid w:val="004A359A"/>
    <w:rsid w:val="004A5ECA"/>
    <w:rsid w:val="004A640D"/>
    <w:rsid w:val="004A646D"/>
    <w:rsid w:val="004B1869"/>
    <w:rsid w:val="004C35CC"/>
    <w:rsid w:val="004D1555"/>
    <w:rsid w:val="004D27B7"/>
    <w:rsid w:val="004D5C42"/>
    <w:rsid w:val="004D6527"/>
    <w:rsid w:val="004E4151"/>
    <w:rsid w:val="004E4FC5"/>
    <w:rsid w:val="004F0840"/>
    <w:rsid w:val="004F4562"/>
    <w:rsid w:val="004F783E"/>
    <w:rsid w:val="00501BE9"/>
    <w:rsid w:val="0050305D"/>
    <w:rsid w:val="005049B7"/>
    <w:rsid w:val="00507B2A"/>
    <w:rsid w:val="00512031"/>
    <w:rsid w:val="005125E5"/>
    <w:rsid w:val="0051286C"/>
    <w:rsid w:val="0051731D"/>
    <w:rsid w:val="0052052C"/>
    <w:rsid w:val="00520C0A"/>
    <w:rsid w:val="005214B2"/>
    <w:rsid w:val="0052223F"/>
    <w:rsid w:val="00530A19"/>
    <w:rsid w:val="0053247C"/>
    <w:rsid w:val="00533E52"/>
    <w:rsid w:val="00535F2A"/>
    <w:rsid w:val="00536A9D"/>
    <w:rsid w:val="00540F03"/>
    <w:rsid w:val="00545265"/>
    <w:rsid w:val="00552BD8"/>
    <w:rsid w:val="00553D6C"/>
    <w:rsid w:val="00562EFC"/>
    <w:rsid w:val="0056474A"/>
    <w:rsid w:val="00565B57"/>
    <w:rsid w:val="00567C7C"/>
    <w:rsid w:val="00567DAA"/>
    <w:rsid w:val="005730B2"/>
    <w:rsid w:val="005734D8"/>
    <w:rsid w:val="00576316"/>
    <w:rsid w:val="005875FB"/>
    <w:rsid w:val="00594F28"/>
    <w:rsid w:val="00595F5D"/>
    <w:rsid w:val="00597AFD"/>
    <w:rsid w:val="005B00BB"/>
    <w:rsid w:val="005B52D6"/>
    <w:rsid w:val="005B5843"/>
    <w:rsid w:val="005B5DB8"/>
    <w:rsid w:val="005C061E"/>
    <w:rsid w:val="005C406A"/>
    <w:rsid w:val="005C59F3"/>
    <w:rsid w:val="005C6F22"/>
    <w:rsid w:val="005D0BF3"/>
    <w:rsid w:val="005D2380"/>
    <w:rsid w:val="005D560B"/>
    <w:rsid w:val="005D72C6"/>
    <w:rsid w:val="005E543B"/>
    <w:rsid w:val="005E6823"/>
    <w:rsid w:val="005F33B8"/>
    <w:rsid w:val="005F6242"/>
    <w:rsid w:val="005F6B56"/>
    <w:rsid w:val="005F7F7E"/>
    <w:rsid w:val="006003EE"/>
    <w:rsid w:val="006029CF"/>
    <w:rsid w:val="00620480"/>
    <w:rsid w:val="00620B97"/>
    <w:rsid w:val="00622573"/>
    <w:rsid w:val="006236C8"/>
    <w:rsid w:val="00623705"/>
    <w:rsid w:val="006250F1"/>
    <w:rsid w:val="006267AB"/>
    <w:rsid w:val="00627CDE"/>
    <w:rsid w:val="00630528"/>
    <w:rsid w:val="00631126"/>
    <w:rsid w:val="00635B61"/>
    <w:rsid w:val="0064303A"/>
    <w:rsid w:val="00644506"/>
    <w:rsid w:val="00645F15"/>
    <w:rsid w:val="00647324"/>
    <w:rsid w:val="00650D45"/>
    <w:rsid w:val="00655276"/>
    <w:rsid w:val="00655F18"/>
    <w:rsid w:val="00657327"/>
    <w:rsid w:val="0066616E"/>
    <w:rsid w:val="0066737F"/>
    <w:rsid w:val="00667654"/>
    <w:rsid w:val="00672FE8"/>
    <w:rsid w:val="00673394"/>
    <w:rsid w:val="006746C7"/>
    <w:rsid w:val="0067799D"/>
    <w:rsid w:val="00693E9F"/>
    <w:rsid w:val="00696C12"/>
    <w:rsid w:val="006A3AA2"/>
    <w:rsid w:val="006A4674"/>
    <w:rsid w:val="006A7514"/>
    <w:rsid w:val="006A7B49"/>
    <w:rsid w:val="006A7D42"/>
    <w:rsid w:val="006B3DB8"/>
    <w:rsid w:val="006C0958"/>
    <w:rsid w:val="006C2D2B"/>
    <w:rsid w:val="006C351A"/>
    <w:rsid w:val="006D08BA"/>
    <w:rsid w:val="006D38AC"/>
    <w:rsid w:val="006E202A"/>
    <w:rsid w:val="006E3559"/>
    <w:rsid w:val="006E3AE5"/>
    <w:rsid w:val="006E4DC5"/>
    <w:rsid w:val="006E6210"/>
    <w:rsid w:val="006E6C42"/>
    <w:rsid w:val="006F0FCD"/>
    <w:rsid w:val="006F2135"/>
    <w:rsid w:val="006F53EB"/>
    <w:rsid w:val="00705FA3"/>
    <w:rsid w:val="00710099"/>
    <w:rsid w:val="00713552"/>
    <w:rsid w:val="00715BA4"/>
    <w:rsid w:val="00717ADA"/>
    <w:rsid w:val="00732B98"/>
    <w:rsid w:val="00732C30"/>
    <w:rsid w:val="007337E7"/>
    <w:rsid w:val="00740119"/>
    <w:rsid w:val="007427A3"/>
    <w:rsid w:val="007469E2"/>
    <w:rsid w:val="007473C8"/>
    <w:rsid w:val="00751BF2"/>
    <w:rsid w:val="00752622"/>
    <w:rsid w:val="00757DA3"/>
    <w:rsid w:val="0076044D"/>
    <w:rsid w:val="00762B5D"/>
    <w:rsid w:val="007658D9"/>
    <w:rsid w:val="0077134C"/>
    <w:rsid w:val="00774BF1"/>
    <w:rsid w:val="0077734C"/>
    <w:rsid w:val="007801DB"/>
    <w:rsid w:val="00786348"/>
    <w:rsid w:val="007906BF"/>
    <w:rsid w:val="00790D58"/>
    <w:rsid w:val="00793BE6"/>
    <w:rsid w:val="00794BFF"/>
    <w:rsid w:val="007A1C78"/>
    <w:rsid w:val="007A217D"/>
    <w:rsid w:val="007A4158"/>
    <w:rsid w:val="007B12A6"/>
    <w:rsid w:val="007B51A8"/>
    <w:rsid w:val="007C170D"/>
    <w:rsid w:val="007C37A8"/>
    <w:rsid w:val="007C6214"/>
    <w:rsid w:val="007D170D"/>
    <w:rsid w:val="007D33E1"/>
    <w:rsid w:val="007E08B1"/>
    <w:rsid w:val="007E12F2"/>
    <w:rsid w:val="007E2570"/>
    <w:rsid w:val="007E6775"/>
    <w:rsid w:val="007F1EC7"/>
    <w:rsid w:val="007F3E47"/>
    <w:rsid w:val="007F7605"/>
    <w:rsid w:val="00803F4A"/>
    <w:rsid w:val="008060A4"/>
    <w:rsid w:val="00810BD3"/>
    <w:rsid w:val="00812F0B"/>
    <w:rsid w:val="00823B6C"/>
    <w:rsid w:val="00824DE7"/>
    <w:rsid w:val="00825DF0"/>
    <w:rsid w:val="0083431B"/>
    <w:rsid w:val="00836285"/>
    <w:rsid w:val="0083789C"/>
    <w:rsid w:val="008408D2"/>
    <w:rsid w:val="00846B28"/>
    <w:rsid w:val="00847B69"/>
    <w:rsid w:val="00850D40"/>
    <w:rsid w:val="00851C15"/>
    <w:rsid w:val="00852B22"/>
    <w:rsid w:val="00854545"/>
    <w:rsid w:val="00855843"/>
    <w:rsid w:val="00855EBE"/>
    <w:rsid w:val="00857D51"/>
    <w:rsid w:val="008638FD"/>
    <w:rsid w:val="00864A69"/>
    <w:rsid w:val="00866C8B"/>
    <w:rsid w:val="008707AD"/>
    <w:rsid w:val="008721D8"/>
    <w:rsid w:val="00873F88"/>
    <w:rsid w:val="0087548A"/>
    <w:rsid w:val="00875804"/>
    <w:rsid w:val="0088085B"/>
    <w:rsid w:val="0088218B"/>
    <w:rsid w:val="00882CFC"/>
    <w:rsid w:val="00885AF3"/>
    <w:rsid w:val="00886A63"/>
    <w:rsid w:val="00892D78"/>
    <w:rsid w:val="008938A8"/>
    <w:rsid w:val="00893C06"/>
    <w:rsid w:val="00896937"/>
    <w:rsid w:val="008A2323"/>
    <w:rsid w:val="008A27D7"/>
    <w:rsid w:val="008A2D6C"/>
    <w:rsid w:val="008A33D5"/>
    <w:rsid w:val="008A3760"/>
    <w:rsid w:val="008A7B1E"/>
    <w:rsid w:val="008B2B88"/>
    <w:rsid w:val="008B3761"/>
    <w:rsid w:val="008B4622"/>
    <w:rsid w:val="008B49B7"/>
    <w:rsid w:val="008B5206"/>
    <w:rsid w:val="008C69AE"/>
    <w:rsid w:val="008C7244"/>
    <w:rsid w:val="008D0867"/>
    <w:rsid w:val="008D2053"/>
    <w:rsid w:val="008D328A"/>
    <w:rsid w:val="008D34D5"/>
    <w:rsid w:val="008D417D"/>
    <w:rsid w:val="008D491A"/>
    <w:rsid w:val="008D7033"/>
    <w:rsid w:val="008E0C22"/>
    <w:rsid w:val="008E0FB0"/>
    <w:rsid w:val="008E1C19"/>
    <w:rsid w:val="008E3182"/>
    <w:rsid w:val="008F275D"/>
    <w:rsid w:val="008F4CA4"/>
    <w:rsid w:val="008F57AF"/>
    <w:rsid w:val="008F584A"/>
    <w:rsid w:val="008F73E4"/>
    <w:rsid w:val="00905268"/>
    <w:rsid w:val="00905652"/>
    <w:rsid w:val="0092268C"/>
    <w:rsid w:val="00925C06"/>
    <w:rsid w:val="00927477"/>
    <w:rsid w:val="00935083"/>
    <w:rsid w:val="00942A9A"/>
    <w:rsid w:val="009435EF"/>
    <w:rsid w:val="00945490"/>
    <w:rsid w:val="00946893"/>
    <w:rsid w:val="00951548"/>
    <w:rsid w:val="009550EF"/>
    <w:rsid w:val="0095541B"/>
    <w:rsid w:val="00955D23"/>
    <w:rsid w:val="00956942"/>
    <w:rsid w:val="00960F05"/>
    <w:rsid w:val="00964933"/>
    <w:rsid w:val="009659A2"/>
    <w:rsid w:val="00967613"/>
    <w:rsid w:val="009741EA"/>
    <w:rsid w:val="0097716A"/>
    <w:rsid w:val="009865E7"/>
    <w:rsid w:val="00986E5F"/>
    <w:rsid w:val="00987941"/>
    <w:rsid w:val="009905F1"/>
    <w:rsid w:val="00992768"/>
    <w:rsid w:val="00994763"/>
    <w:rsid w:val="00995F40"/>
    <w:rsid w:val="009A17E3"/>
    <w:rsid w:val="009A71A4"/>
    <w:rsid w:val="009B17A6"/>
    <w:rsid w:val="009B185F"/>
    <w:rsid w:val="009B2390"/>
    <w:rsid w:val="009B5AD1"/>
    <w:rsid w:val="009C0628"/>
    <w:rsid w:val="009C42BD"/>
    <w:rsid w:val="009C6881"/>
    <w:rsid w:val="009D2D2D"/>
    <w:rsid w:val="009D5781"/>
    <w:rsid w:val="009D75B2"/>
    <w:rsid w:val="009E082D"/>
    <w:rsid w:val="009E4CE8"/>
    <w:rsid w:val="009E6401"/>
    <w:rsid w:val="009E666A"/>
    <w:rsid w:val="009F13AA"/>
    <w:rsid w:val="009F47C7"/>
    <w:rsid w:val="009F6058"/>
    <w:rsid w:val="00A00C9F"/>
    <w:rsid w:val="00A03C9B"/>
    <w:rsid w:val="00A044B2"/>
    <w:rsid w:val="00A074FA"/>
    <w:rsid w:val="00A16A89"/>
    <w:rsid w:val="00A172CA"/>
    <w:rsid w:val="00A26180"/>
    <w:rsid w:val="00A272CD"/>
    <w:rsid w:val="00A273FD"/>
    <w:rsid w:val="00A3194B"/>
    <w:rsid w:val="00A32CC7"/>
    <w:rsid w:val="00A342F8"/>
    <w:rsid w:val="00A347F6"/>
    <w:rsid w:val="00A3508C"/>
    <w:rsid w:val="00A363E3"/>
    <w:rsid w:val="00A36504"/>
    <w:rsid w:val="00A45EA1"/>
    <w:rsid w:val="00A56AA1"/>
    <w:rsid w:val="00A67421"/>
    <w:rsid w:val="00A7000A"/>
    <w:rsid w:val="00A70804"/>
    <w:rsid w:val="00A711C9"/>
    <w:rsid w:val="00A72663"/>
    <w:rsid w:val="00A7585D"/>
    <w:rsid w:val="00A75D7C"/>
    <w:rsid w:val="00A77E80"/>
    <w:rsid w:val="00A81C05"/>
    <w:rsid w:val="00A82DCC"/>
    <w:rsid w:val="00A87D8B"/>
    <w:rsid w:val="00A932AC"/>
    <w:rsid w:val="00A93731"/>
    <w:rsid w:val="00AA7274"/>
    <w:rsid w:val="00AB0541"/>
    <w:rsid w:val="00AB1614"/>
    <w:rsid w:val="00AB2A44"/>
    <w:rsid w:val="00AB5936"/>
    <w:rsid w:val="00AB6339"/>
    <w:rsid w:val="00AB6478"/>
    <w:rsid w:val="00AB6AC5"/>
    <w:rsid w:val="00AB6DF7"/>
    <w:rsid w:val="00AC33DF"/>
    <w:rsid w:val="00AD543A"/>
    <w:rsid w:val="00AE0ADB"/>
    <w:rsid w:val="00AE4C98"/>
    <w:rsid w:val="00AE4D6E"/>
    <w:rsid w:val="00AE767B"/>
    <w:rsid w:val="00AE7869"/>
    <w:rsid w:val="00AE7A75"/>
    <w:rsid w:val="00AF0833"/>
    <w:rsid w:val="00AF0DDB"/>
    <w:rsid w:val="00AF147C"/>
    <w:rsid w:val="00AF1808"/>
    <w:rsid w:val="00AF1B77"/>
    <w:rsid w:val="00AF4C65"/>
    <w:rsid w:val="00AF4DFD"/>
    <w:rsid w:val="00AF5BA0"/>
    <w:rsid w:val="00AF76AE"/>
    <w:rsid w:val="00B00870"/>
    <w:rsid w:val="00B03581"/>
    <w:rsid w:val="00B05443"/>
    <w:rsid w:val="00B0570B"/>
    <w:rsid w:val="00B06FEF"/>
    <w:rsid w:val="00B0716E"/>
    <w:rsid w:val="00B14C49"/>
    <w:rsid w:val="00B26999"/>
    <w:rsid w:val="00B32131"/>
    <w:rsid w:val="00B43760"/>
    <w:rsid w:val="00B43D2F"/>
    <w:rsid w:val="00B43F1F"/>
    <w:rsid w:val="00B476CD"/>
    <w:rsid w:val="00B52840"/>
    <w:rsid w:val="00B54325"/>
    <w:rsid w:val="00B547EB"/>
    <w:rsid w:val="00B55945"/>
    <w:rsid w:val="00B5697E"/>
    <w:rsid w:val="00B647A9"/>
    <w:rsid w:val="00B64894"/>
    <w:rsid w:val="00B65D7D"/>
    <w:rsid w:val="00B67CA9"/>
    <w:rsid w:val="00B72778"/>
    <w:rsid w:val="00B74E60"/>
    <w:rsid w:val="00B75669"/>
    <w:rsid w:val="00B75837"/>
    <w:rsid w:val="00B75B81"/>
    <w:rsid w:val="00B762D7"/>
    <w:rsid w:val="00B77A58"/>
    <w:rsid w:val="00B82E28"/>
    <w:rsid w:val="00B84B2C"/>
    <w:rsid w:val="00B87B7C"/>
    <w:rsid w:val="00B95BDA"/>
    <w:rsid w:val="00B96847"/>
    <w:rsid w:val="00BA1C6F"/>
    <w:rsid w:val="00BA4812"/>
    <w:rsid w:val="00BA513D"/>
    <w:rsid w:val="00BA5C80"/>
    <w:rsid w:val="00BB0F84"/>
    <w:rsid w:val="00BC1690"/>
    <w:rsid w:val="00BD13ED"/>
    <w:rsid w:val="00BD56EB"/>
    <w:rsid w:val="00BE0240"/>
    <w:rsid w:val="00BE2084"/>
    <w:rsid w:val="00BE6E00"/>
    <w:rsid w:val="00BF489C"/>
    <w:rsid w:val="00BF5393"/>
    <w:rsid w:val="00C0488C"/>
    <w:rsid w:val="00C06AB1"/>
    <w:rsid w:val="00C109B8"/>
    <w:rsid w:val="00C11C12"/>
    <w:rsid w:val="00C11FF7"/>
    <w:rsid w:val="00C17738"/>
    <w:rsid w:val="00C21370"/>
    <w:rsid w:val="00C3383A"/>
    <w:rsid w:val="00C35E91"/>
    <w:rsid w:val="00C37F9F"/>
    <w:rsid w:val="00C4076B"/>
    <w:rsid w:val="00C41A4E"/>
    <w:rsid w:val="00C4718D"/>
    <w:rsid w:val="00C52087"/>
    <w:rsid w:val="00C60DF5"/>
    <w:rsid w:val="00C7018F"/>
    <w:rsid w:val="00C7339A"/>
    <w:rsid w:val="00C73D55"/>
    <w:rsid w:val="00C75847"/>
    <w:rsid w:val="00C75F09"/>
    <w:rsid w:val="00C75F67"/>
    <w:rsid w:val="00C8253B"/>
    <w:rsid w:val="00CA6034"/>
    <w:rsid w:val="00CA73E4"/>
    <w:rsid w:val="00CA77B4"/>
    <w:rsid w:val="00CA7BF2"/>
    <w:rsid w:val="00CB0A0C"/>
    <w:rsid w:val="00CB1893"/>
    <w:rsid w:val="00CB6101"/>
    <w:rsid w:val="00CD34C9"/>
    <w:rsid w:val="00CD627D"/>
    <w:rsid w:val="00CD6AB5"/>
    <w:rsid w:val="00CE0018"/>
    <w:rsid w:val="00CE00C8"/>
    <w:rsid w:val="00CE023B"/>
    <w:rsid w:val="00CE4715"/>
    <w:rsid w:val="00CF050D"/>
    <w:rsid w:val="00CF4506"/>
    <w:rsid w:val="00CF7942"/>
    <w:rsid w:val="00D02DDA"/>
    <w:rsid w:val="00D03CFF"/>
    <w:rsid w:val="00D04630"/>
    <w:rsid w:val="00D0518F"/>
    <w:rsid w:val="00D1026F"/>
    <w:rsid w:val="00D10AE1"/>
    <w:rsid w:val="00D12DBA"/>
    <w:rsid w:val="00D15814"/>
    <w:rsid w:val="00D163C2"/>
    <w:rsid w:val="00D16C4B"/>
    <w:rsid w:val="00D1754F"/>
    <w:rsid w:val="00D218DA"/>
    <w:rsid w:val="00D227BF"/>
    <w:rsid w:val="00D235F7"/>
    <w:rsid w:val="00D328F6"/>
    <w:rsid w:val="00D33060"/>
    <w:rsid w:val="00D35490"/>
    <w:rsid w:val="00D41D90"/>
    <w:rsid w:val="00D54A43"/>
    <w:rsid w:val="00D630A1"/>
    <w:rsid w:val="00D709DF"/>
    <w:rsid w:val="00D72E5E"/>
    <w:rsid w:val="00D747BB"/>
    <w:rsid w:val="00D75442"/>
    <w:rsid w:val="00D767EF"/>
    <w:rsid w:val="00D8358C"/>
    <w:rsid w:val="00D83FCB"/>
    <w:rsid w:val="00D8446D"/>
    <w:rsid w:val="00D90D74"/>
    <w:rsid w:val="00D94713"/>
    <w:rsid w:val="00DA064E"/>
    <w:rsid w:val="00DA0928"/>
    <w:rsid w:val="00DA0C70"/>
    <w:rsid w:val="00DA1DD7"/>
    <w:rsid w:val="00DA3256"/>
    <w:rsid w:val="00DA402A"/>
    <w:rsid w:val="00DA46A9"/>
    <w:rsid w:val="00DA5EB7"/>
    <w:rsid w:val="00DA74C3"/>
    <w:rsid w:val="00DB09D6"/>
    <w:rsid w:val="00DB1CC3"/>
    <w:rsid w:val="00DB1E69"/>
    <w:rsid w:val="00DB597F"/>
    <w:rsid w:val="00DD2A0D"/>
    <w:rsid w:val="00DD3184"/>
    <w:rsid w:val="00DD322C"/>
    <w:rsid w:val="00DD441B"/>
    <w:rsid w:val="00DD7F88"/>
    <w:rsid w:val="00DE4168"/>
    <w:rsid w:val="00DE50F3"/>
    <w:rsid w:val="00DE5B5D"/>
    <w:rsid w:val="00DF08F9"/>
    <w:rsid w:val="00DF0F44"/>
    <w:rsid w:val="00DF5B68"/>
    <w:rsid w:val="00E01541"/>
    <w:rsid w:val="00E017A6"/>
    <w:rsid w:val="00E0246E"/>
    <w:rsid w:val="00E030AD"/>
    <w:rsid w:val="00E0323F"/>
    <w:rsid w:val="00E035D2"/>
    <w:rsid w:val="00E03F48"/>
    <w:rsid w:val="00E07F67"/>
    <w:rsid w:val="00E1792A"/>
    <w:rsid w:val="00E17CB5"/>
    <w:rsid w:val="00E2025E"/>
    <w:rsid w:val="00E22930"/>
    <w:rsid w:val="00E234B6"/>
    <w:rsid w:val="00E238C2"/>
    <w:rsid w:val="00E253B3"/>
    <w:rsid w:val="00E26D50"/>
    <w:rsid w:val="00E30A60"/>
    <w:rsid w:val="00E34433"/>
    <w:rsid w:val="00E34C08"/>
    <w:rsid w:val="00E34EDE"/>
    <w:rsid w:val="00E42C90"/>
    <w:rsid w:val="00E4309F"/>
    <w:rsid w:val="00E45E18"/>
    <w:rsid w:val="00E46E9E"/>
    <w:rsid w:val="00E55383"/>
    <w:rsid w:val="00E55BDA"/>
    <w:rsid w:val="00E55D44"/>
    <w:rsid w:val="00E66DAB"/>
    <w:rsid w:val="00E7008E"/>
    <w:rsid w:val="00E7060A"/>
    <w:rsid w:val="00E70F3D"/>
    <w:rsid w:val="00E74362"/>
    <w:rsid w:val="00E776F5"/>
    <w:rsid w:val="00E82678"/>
    <w:rsid w:val="00E8327F"/>
    <w:rsid w:val="00E90D6D"/>
    <w:rsid w:val="00E915D6"/>
    <w:rsid w:val="00E9444D"/>
    <w:rsid w:val="00E94593"/>
    <w:rsid w:val="00E9465C"/>
    <w:rsid w:val="00E9517D"/>
    <w:rsid w:val="00E95A78"/>
    <w:rsid w:val="00E9776A"/>
    <w:rsid w:val="00E97A61"/>
    <w:rsid w:val="00EA15D4"/>
    <w:rsid w:val="00EA4F0C"/>
    <w:rsid w:val="00EA5CD5"/>
    <w:rsid w:val="00EB026F"/>
    <w:rsid w:val="00EB070C"/>
    <w:rsid w:val="00EB2C0E"/>
    <w:rsid w:val="00EB2DED"/>
    <w:rsid w:val="00EB355B"/>
    <w:rsid w:val="00EB5CB5"/>
    <w:rsid w:val="00EB6919"/>
    <w:rsid w:val="00EC5643"/>
    <w:rsid w:val="00EC6477"/>
    <w:rsid w:val="00ED1D74"/>
    <w:rsid w:val="00ED7127"/>
    <w:rsid w:val="00EE36E5"/>
    <w:rsid w:val="00EE3B34"/>
    <w:rsid w:val="00EE5DC8"/>
    <w:rsid w:val="00EF018B"/>
    <w:rsid w:val="00EF25AA"/>
    <w:rsid w:val="00EF3CAE"/>
    <w:rsid w:val="00F04B1C"/>
    <w:rsid w:val="00F163D4"/>
    <w:rsid w:val="00F17351"/>
    <w:rsid w:val="00F22EDF"/>
    <w:rsid w:val="00F240F5"/>
    <w:rsid w:val="00F2502F"/>
    <w:rsid w:val="00F31122"/>
    <w:rsid w:val="00F312B7"/>
    <w:rsid w:val="00F318DE"/>
    <w:rsid w:val="00F344C5"/>
    <w:rsid w:val="00F40FA4"/>
    <w:rsid w:val="00F41168"/>
    <w:rsid w:val="00F4157B"/>
    <w:rsid w:val="00F46546"/>
    <w:rsid w:val="00F46839"/>
    <w:rsid w:val="00F47DE5"/>
    <w:rsid w:val="00F47F2D"/>
    <w:rsid w:val="00F501D6"/>
    <w:rsid w:val="00F52EDF"/>
    <w:rsid w:val="00F53BD1"/>
    <w:rsid w:val="00F5455F"/>
    <w:rsid w:val="00F61602"/>
    <w:rsid w:val="00F717E9"/>
    <w:rsid w:val="00F71F31"/>
    <w:rsid w:val="00F72F99"/>
    <w:rsid w:val="00F73FCF"/>
    <w:rsid w:val="00F75BDF"/>
    <w:rsid w:val="00F75BF5"/>
    <w:rsid w:val="00F80692"/>
    <w:rsid w:val="00F83BE0"/>
    <w:rsid w:val="00F83F69"/>
    <w:rsid w:val="00F853E1"/>
    <w:rsid w:val="00F94B27"/>
    <w:rsid w:val="00F956DA"/>
    <w:rsid w:val="00F95CFA"/>
    <w:rsid w:val="00FA32A8"/>
    <w:rsid w:val="00FA32BC"/>
    <w:rsid w:val="00FA3D66"/>
    <w:rsid w:val="00FA6AA8"/>
    <w:rsid w:val="00FA6C9E"/>
    <w:rsid w:val="00FB1195"/>
    <w:rsid w:val="00FB3774"/>
    <w:rsid w:val="00FB44EC"/>
    <w:rsid w:val="00FC3387"/>
    <w:rsid w:val="00FC34D1"/>
    <w:rsid w:val="00FC3D7E"/>
    <w:rsid w:val="00FD2550"/>
    <w:rsid w:val="00FD4237"/>
    <w:rsid w:val="00FD6552"/>
    <w:rsid w:val="00FD7A85"/>
    <w:rsid w:val="00FE20DB"/>
    <w:rsid w:val="00FE3C44"/>
    <w:rsid w:val="00FE3E14"/>
    <w:rsid w:val="00FE3E83"/>
    <w:rsid w:val="00FE744D"/>
    <w:rsid w:val="00FF2365"/>
    <w:rsid w:val="00FF512F"/>
    <w:rsid w:val="00FF5573"/>
    <w:rsid w:val="1A377809"/>
    <w:rsid w:val="49F30BFD"/>
    <w:rsid w:val="6BFD4783"/>
    <w:rsid w:val="7E1D3427"/>
    <w:rsid w:val="7F4E7473"/>
  </w:rsids>
  <m:mathPr>
    <m:mathFont m:val="Cambria Math"/>
    <m:brkBin m:val="before"/>
    <m:brkBinSub m:val="--"/>
    <m:smallFrac m:val="1"/>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autoRedefine/>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autoRedefine/>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Body Text Indent"/>
    <w:basedOn w:val="1"/>
    <w:uiPriority w:val="0"/>
    <w:pPr>
      <w:tabs>
        <w:tab w:val="left" w:pos="6840"/>
      </w:tabs>
      <w:ind w:firstLine="570"/>
    </w:pPr>
    <w:rPr>
      <w:rFonts w:ascii="宋体" w:hAnsi="宋体"/>
      <w:sz w:val="24"/>
    </w:rPr>
  </w:style>
  <w:style w:type="paragraph" w:styleId="6">
    <w:name w:val="toc 3"/>
    <w:basedOn w:val="1"/>
    <w:next w:val="1"/>
    <w:autoRedefine/>
    <w:unhideWhenUsed/>
    <w:uiPriority w:val="39"/>
    <w:pPr>
      <w:ind w:left="840" w:leftChars="400"/>
    </w:pPr>
    <w:rPr>
      <w:rFonts w:asciiTheme="minorHAnsi" w:hAnsiTheme="minorHAnsi" w:eastAsiaTheme="minorEastAsia" w:cstheme="minorBidi"/>
      <w:szCs w:val="22"/>
    </w:rPr>
  </w:style>
  <w:style w:type="paragraph" w:styleId="7">
    <w:name w:val="Date"/>
    <w:basedOn w:val="1"/>
    <w:next w:val="1"/>
    <w:link w:val="29"/>
    <w:uiPriority w:val="99"/>
    <w:pPr>
      <w:ind w:left="100" w:leftChars="2500"/>
    </w:pPr>
    <w:rPr>
      <w:b/>
    </w:rPr>
  </w:style>
  <w:style w:type="paragraph" w:styleId="8">
    <w:name w:val="Body Text Indent 2"/>
    <w:basedOn w:val="1"/>
    <w:uiPriority w:val="0"/>
    <w:pPr>
      <w:widowControl/>
      <w:ind w:firstLine="480"/>
    </w:pPr>
    <w:rPr>
      <w:kern w:val="0"/>
      <w:sz w:val="24"/>
    </w:rPr>
  </w:style>
  <w:style w:type="paragraph" w:styleId="9">
    <w:name w:val="Balloon Text"/>
    <w:basedOn w:val="1"/>
    <w:link w:val="32"/>
    <w:semiHidden/>
    <w:unhideWhenUsed/>
    <w:uiPriority w:val="99"/>
    <w:rPr>
      <w:rFonts w:ascii="Segoe UI" w:hAnsi="Segoe UI" w:cs="Segoe UI"/>
      <w:sz w:val="18"/>
      <w:szCs w:val="18"/>
    </w:rPr>
  </w:style>
  <w:style w:type="paragraph" w:styleId="10">
    <w:name w:val="footer"/>
    <w:basedOn w:val="1"/>
    <w:link w:val="26"/>
    <w:autoRedefine/>
    <w:qFormat/>
    <w:uiPriority w:val="99"/>
    <w:pPr>
      <w:tabs>
        <w:tab w:val="center" w:pos="4153"/>
        <w:tab w:val="right" w:pos="8306"/>
      </w:tabs>
      <w:snapToGrid w:val="0"/>
      <w:jc w:val="left"/>
    </w:pPr>
    <w:rPr>
      <w:sz w:val="18"/>
      <w:szCs w:val="18"/>
    </w:rPr>
  </w:style>
  <w:style w:type="paragraph" w:styleId="11">
    <w:name w:val="header"/>
    <w:basedOn w:val="1"/>
    <w:link w:val="30"/>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uiPriority w:val="39"/>
    <w:rPr>
      <w:rFonts w:asciiTheme="minorHAnsi" w:hAnsiTheme="minorHAnsi" w:eastAsiaTheme="minorEastAsia" w:cstheme="minorBidi"/>
      <w:szCs w:val="22"/>
    </w:rPr>
  </w:style>
  <w:style w:type="paragraph" w:styleId="13">
    <w:name w:val="footnote text"/>
    <w:basedOn w:val="1"/>
    <w:link w:val="41"/>
    <w:semiHidden/>
    <w:unhideWhenUsed/>
    <w:uiPriority w:val="99"/>
    <w:pPr>
      <w:snapToGrid w:val="0"/>
      <w:jc w:val="left"/>
    </w:pPr>
    <w:rPr>
      <w:rFonts w:asciiTheme="minorHAnsi" w:hAnsiTheme="minorHAnsi" w:eastAsiaTheme="minorEastAsia" w:cstheme="minorBidi"/>
      <w:sz w:val="18"/>
      <w:szCs w:val="18"/>
    </w:rPr>
  </w:style>
  <w:style w:type="paragraph" w:styleId="14">
    <w:name w:val="toc 2"/>
    <w:basedOn w:val="1"/>
    <w:next w:val="1"/>
    <w:autoRedefine/>
    <w:unhideWhenUsed/>
    <w:uiPriority w:val="39"/>
    <w:pPr>
      <w:ind w:left="420" w:leftChars="200"/>
    </w:pPr>
    <w:rPr>
      <w:rFonts w:asciiTheme="minorHAnsi" w:hAnsiTheme="minorHAnsi" w:eastAsiaTheme="minorEastAsia" w:cstheme="minorBidi"/>
      <w:szCs w:val="22"/>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autoRedefine/>
    <w:qFormat/>
    <w:uiPriority w:val="0"/>
  </w:style>
  <w:style w:type="character" w:styleId="20">
    <w:name w:val="Emphasis"/>
    <w:basedOn w:val="17"/>
    <w:qFormat/>
    <w:uiPriority w:val="20"/>
    <w:rPr>
      <w:i/>
      <w:iCs/>
    </w:rPr>
  </w:style>
  <w:style w:type="character" w:styleId="21">
    <w:name w:val="Hyperlink"/>
    <w:basedOn w:val="17"/>
    <w:unhideWhenUsed/>
    <w:uiPriority w:val="99"/>
    <w:rPr>
      <w:color w:val="0000FF"/>
      <w:u w:val="single"/>
    </w:rPr>
  </w:style>
  <w:style w:type="character" w:styleId="22">
    <w:name w:val="footnote reference"/>
    <w:basedOn w:val="17"/>
    <w:semiHidden/>
    <w:unhideWhenUsed/>
    <w:uiPriority w:val="99"/>
    <w:rPr>
      <w:vertAlign w:val="superscript"/>
    </w:rPr>
  </w:style>
  <w:style w:type="character" w:customStyle="1" w:styleId="23">
    <w:name w:val="标题 1 字符"/>
    <w:link w:val="2"/>
    <w:autoRedefine/>
    <w:qFormat/>
    <w:uiPriority w:val="9"/>
    <w:rPr>
      <w:b/>
      <w:bCs/>
      <w:kern w:val="44"/>
      <w:sz w:val="44"/>
      <w:szCs w:val="44"/>
      <w:lang w:bidi="ar-SA"/>
    </w:rPr>
  </w:style>
  <w:style w:type="character" w:customStyle="1" w:styleId="24">
    <w:name w:val="标题 2 字符"/>
    <w:link w:val="3"/>
    <w:autoRedefine/>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autoRedefine/>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autoRedefine/>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uiPriority w:val="0"/>
    <w:rPr>
      <w:rFonts w:ascii="宋体"/>
      <w:sz w:val="21"/>
      <w:lang w:bidi="ar-SA"/>
    </w:rPr>
  </w:style>
  <w:style w:type="character" w:customStyle="1" w:styleId="29">
    <w:name w:val="日期 字符"/>
    <w:basedOn w:val="17"/>
    <w:link w:val="7"/>
    <w:uiPriority w:val="99"/>
    <w:rPr>
      <w:b/>
      <w:kern w:val="2"/>
      <w:sz w:val="21"/>
      <w:szCs w:val="24"/>
    </w:rPr>
  </w:style>
  <w:style w:type="character" w:customStyle="1" w:styleId="30">
    <w:name w:val="页眉 字符"/>
    <w:basedOn w:val="17"/>
    <w:link w:val="11"/>
    <w:uiPriority w:val="99"/>
    <w:rPr>
      <w:kern w:val="2"/>
      <w:sz w:val="18"/>
      <w:szCs w:val="18"/>
    </w:rPr>
  </w:style>
  <w:style w:type="paragraph" w:customStyle="1" w:styleId="31">
    <w:name w:val="Minutes info"/>
    <w:basedOn w:val="1"/>
    <w:semiHidden/>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uiPriority w:val="99"/>
    <w:rPr>
      <w:rFonts w:ascii="Segoe UI" w:hAnsi="Segoe UI" w:cs="Segoe UI"/>
      <w:kern w:val="2"/>
      <w:sz w:val="18"/>
      <w:szCs w:val="18"/>
      <w:lang w:bidi="ar-SA"/>
    </w:rPr>
  </w:style>
  <w:style w:type="paragraph" w:customStyle="1" w:styleId="33">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99"/>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1"/>
    <w:basedOn w:val="1"/>
    <w:qFormat/>
    <w:uiPriority w:val="34"/>
    <w:pPr>
      <w:ind w:firstLine="420" w:firstLineChars="200"/>
    </w:pPr>
    <w:rPr>
      <w:rFonts w:ascii="Calibri" w:hAnsi="Calibri"/>
      <w:szCs w:val="22"/>
    </w:rPr>
  </w:style>
  <w:style w:type="paragraph" w:customStyle="1" w:styleId="3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uiPriority w:val="0"/>
    <w:rPr>
      <w:sz w:val="18"/>
      <w:szCs w:val="18"/>
    </w:rPr>
  </w:style>
  <w:style w:type="character" w:customStyle="1" w:styleId="41">
    <w:name w:val="脚注文本 字符"/>
    <w:basedOn w:val="17"/>
    <w:link w:val="13"/>
    <w:semiHidden/>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character" w:customStyle="1" w:styleId="46">
    <w:name w:val="二级条标题 Char Char"/>
    <w:link w:val="47"/>
    <w:autoRedefine/>
    <w:qFormat/>
    <w:uiPriority w:val="0"/>
    <w:rPr>
      <w:rFonts w:ascii="黑体" w:eastAsia="黑体"/>
      <w:sz w:val="21"/>
    </w:rPr>
  </w:style>
  <w:style w:type="paragraph" w:customStyle="1" w:styleId="47">
    <w:name w:val="二级条标题"/>
    <w:basedOn w:val="48"/>
    <w:next w:val="27"/>
    <w:link w:val="46"/>
    <w:autoRedefine/>
    <w:qFormat/>
    <w:uiPriority w:val="0"/>
    <w:pPr>
      <w:tabs>
        <w:tab w:val="left" w:pos="720"/>
      </w:tabs>
      <w:ind w:left="0" w:firstLine="0"/>
      <w:outlineLvl w:val="3"/>
    </w:pPr>
  </w:style>
  <w:style w:type="paragraph" w:customStyle="1" w:styleId="48">
    <w:name w:val="一级条标题"/>
    <w:basedOn w:val="49"/>
    <w:next w:val="27"/>
    <w:autoRedefine/>
    <w:qFormat/>
    <w:uiPriority w:val="0"/>
    <w:pPr>
      <w:tabs>
        <w:tab w:val="left" w:pos="720"/>
      </w:tabs>
      <w:spacing w:beforeLines="0" w:afterLines="0"/>
      <w:ind w:left="720" w:hanging="720"/>
      <w:outlineLvl w:val="2"/>
    </w:pPr>
  </w:style>
  <w:style w:type="paragraph" w:customStyle="1" w:styleId="49">
    <w:name w:val="章标题"/>
    <w:next w:val="27"/>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50">
    <w:name w:val="注：（正文）"/>
    <w:basedOn w:val="1"/>
    <w:next w:val="27"/>
    <w:autoRedefine/>
    <w:qFormat/>
    <w:uiPriority w:val="0"/>
    <w:pPr>
      <w:autoSpaceDE w:val="0"/>
      <w:autoSpaceDN w:val="0"/>
      <w:ind w:left="420" w:hanging="420"/>
    </w:pPr>
    <w:rPr>
      <w:rFonts w:ascii="宋体"/>
      <w:kern w:val="0"/>
      <w:sz w:val="18"/>
      <w:szCs w:val="18"/>
    </w:rPr>
  </w:style>
  <w:style w:type="paragraph" w:customStyle="1" w:styleId="51">
    <w:name w:val="正文公式编号制表符"/>
    <w:basedOn w:val="27"/>
    <w:next w:val="27"/>
    <w:autoRedefine/>
    <w:qFormat/>
    <w:uiPriority w:val="0"/>
    <w:pPr>
      <w:tabs>
        <w:tab w:val="center" w:pos="4201"/>
        <w:tab w:val="right" w:leader="dot" w:pos="9298"/>
      </w:tabs>
      <w:ind w:firstLine="0" w:firstLineChars="0"/>
    </w:pPr>
  </w:style>
  <w:style w:type="paragraph" w:customStyle="1" w:styleId="52">
    <w:name w:val="字母编号列项（一级）"/>
    <w:uiPriority w:val="0"/>
    <w:pPr>
      <w:tabs>
        <w:tab w:val="left" w:pos="840"/>
      </w:tabs>
      <w:ind w:left="860" w:hanging="420"/>
      <w:jc w:val="both"/>
    </w:pPr>
    <w:rPr>
      <w:rFonts w:ascii="宋体" w:hAnsi="Times New Roman" w:eastAsia="宋体" w:cs="Times New Roman"/>
      <w:sz w:val="21"/>
      <w:lang w:val="en-US" w:eastAsia="zh-CN" w:bidi="ar-SA"/>
    </w:rPr>
  </w:style>
  <w:style w:type="paragraph" w:customStyle="1" w:styleId="53">
    <w:name w:val="附录表标题"/>
    <w:basedOn w:val="1"/>
    <w:next w:val="27"/>
    <w:uiPriority w:val="0"/>
    <w:pPr>
      <w:spacing w:beforeLines="50" w:afterLines="50"/>
      <w:ind w:left="1680" w:hanging="420"/>
      <w:jc w:val="center"/>
    </w:pPr>
    <w:rPr>
      <w:rFonts w:ascii="黑体" w:eastAsia="黑体"/>
      <w:szCs w:val="21"/>
    </w:rPr>
  </w:style>
  <w:style w:type="paragraph" w:customStyle="1" w:styleId="54">
    <w:name w:val="注×：（正文）"/>
    <w:uiPriority w:val="0"/>
    <w:pPr>
      <w:ind w:left="862" w:hanging="420"/>
      <w:jc w:val="both"/>
    </w:pPr>
    <w:rPr>
      <w:rFonts w:ascii="宋体" w:hAnsi="Times New Roman" w:eastAsia="宋体" w:cs="Times New Roman"/>
      <w:sz w:val="18"/>
      <w:szCs w:val="18"/>
      <w:lang w:val="en-US" w:eastAsia="zh-CN" w:bidi="ar-SA"/>
    </w:rPr>
  </w:style>
  <w:style w:type="paragraph" w:customStyle="1" w:styleId="55">
    <w:name w:val="正文表标题"/>
    <w:next w:val="27"/>
    <w:uiPriority w:val="0"/>
    <w:pPr>
      <w:spacing w:beforeLines="50" w:afterLines="50"/>
      <w:ind w:left="420" w:hanging="420"/>
      <w:jc w:val="center"/>
    </w:pPr>
    <w:rPr>
      <w:rFonts w:ascii="黑体" w:hAnsi="Times New Roman" w:eastAsia="黑体" w:cs="Times New Roman"/>
      <w:sz w:val="21"/>
      <w:lang w:val="en-US" w:eastAsia="zh-CN" w:bidi="ar-SA"/>
    </w:rPr>
  </w:style>
  <w:style w:type="paragraph" w:customStyle="1" w:styleId="56">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975F-1169-47B6-AFDA-AB16B9A75E46}">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9</Pages>
  <Words>1211</Words>
  <Characters>6903</Characters>
  <Lines>57</Lines>
  <Paragraphs>16</Paragraphs>
  <TotalTime>0</TotalTime>
  <ScaleCrop>false</ScaleCrop>
  <LinksUpToDate>false</LinksUpToDate>
  <CharactersWithSpaces>8098</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2024-03-28T01:29:00Z</dcterms:created>
  <dc:creator>a</dc:creator>
  <cp:lastModifiedBy>Administrator</cp:lastModifiedBy>
  <cp:lastPrinted>2019-03-22T06:24:00Z</cp:lastPrinted>
  <dcterms:modified xsi:type="dcterms:W3CDTF">2024-05-15T07:04:15Z</dcterms:modified>
  <dc:title>小麦粉国家标准(GB 1355)</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458E59790B604CB2A938350165BC40F4_13</vt:lpwstr>
  </property>
</Properties>
</file>